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B8DDA" w14:textId="21D48305" w:rsidR="0003464E" w:rsidRDefault="004B0F9B" w:rsidP="0030022E">
      <w:pPr>
        <w:rPr>
          <w:color w:val="FFFFFF"/>
          <w:sz w:val="56"/>
          <w:szCs w:val="56"/>
        </w:rPr>
      </w:pPr>
      <w:bookmarkStart w:id="0" w:name="_Toc365475357"/>
      <w:r>
        <w:rPr>
          <w:noProof/>
        </w:rPr>
        <w:drawing>
          <wp:anchor distT="0" distB="0" distL="114300" distR="114300" simplePos="0" relativeHeight="251657728" behindDoc="1" locked="1" layoutInCell="1" allowOverlap="1" wp14:anchorId="5AFB8E5C" wp14:editId="5AFB8E5D">
            <wp:simplePos x="0" y="0"/>
            <wp:positionH relativeFrom="page">
              <wp:posOffset>0</wp:posOffset>
            </wp:positionH>
            <wp:positionV relativeFrom="page">
              <wp:posOffset>0</wp:posOffset>
            </wp:positionV>
            <wp:extent cx="7560310" cy="1068832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903">
        <w:rPr>
          <w:color w:val="FFFFFF"/>
          <w:sz w:val="56"/>
          <w:szCs w:val="56"/>
        </w:rPr>
        <w:t xml:space="preserve"> </w:t>
      </w:r>
      <w:r w:rsidR="0030022E" w:rsidRPr="0030022E">
        <w:rPr>
          <w:color w:val="FFFFFF"/>
          <w:sz w:val="56"/>
          <w:szCs w:val="56"/>
        </w:rPr>
        <w:t xml:space="preserve">Creative Victoria </w:t>
      </w:r>
    </w:p>
    <w:p w14:paraId="5AFB8DDB" w14:textId="77777777" w:rsidR="0030022E" w:rsidRPr="0030022E" w:rsidRDefault="00F83617" w:rsidP="0030022E">
      <w:pPr>
        <w:rPr>
          <w:color w:val="FFFFFF"/>
          <w:sz w:val="56"/>
          <w:szCs w:val="56"/>
        </w:rPr>
      </w:pPr>
      <w:r>
        <w:rPr>
          <w:color w:val="FFFFFF"/>
          <w:sz w:val="56"/>
          <w:szCs w:val="56"/>
        </w:rPr>
        <w:t>Live Music Venues Program</w:t>
      </w:r>
    </w:p>
    <w:p w14:paraId="5AFB8DDC" w14:textId="77777777" w:rsidR="0003464E" w:rsidRDefault="0003464E" w:rsidP="00412DF1">
      <w:pPr>
        <w:rPr>
          <w:color w:val="FFFFFF"/>
          <w:sz w:val="56"/>
          <w:szCs w:val="56"/>
        </w:rPr>
      </w:pPr>
    </w:p>
    <w:p w14:paraId="5AFB8DDD" w14:textId="77777777" w:rsidR="00A60BA8" w:rsidRPr="006A1EFE" w:rsidRDefault="0030022E" w:rsidP="008D3C50">
      <w:pPr>
        <w:rPr>
          <w:sz w:val="12"/>
          <w:szCs w:val="12"/>
        </w:rPr>
      </w:pPr>
      <w:r w:rsidRPr="0003464E">
        <w:rPr>
          <w:color w:val="FFFFFF"/>
          <w:sz w:val="32"/>
          <w:szCs w:val="32"/>
        </w:rPr>
        <w:t>Online Acquittal Guidance</w:t>
      </w:r>
      <w:r w:rsidR="00DC541E" w:rsidRPr="0003464E">
        <w:rPr>
          <w:sz w:val="32"/>
          <w:szCs w:val="32"/>
        </w:rPr>
        <w:br w:type="page"/>
      </w:r>
      <w:bookmarkEnd w:id="0"/>
    </w:p>
    <w:p w14:paraId="5AFB8DDE" w14:textId="77777777" w:rsidR="00412DF1" w:rsidRPr="00A60BA8" w:rsidRDefault="00412DF1" w:rsidP="00A60BA8">
      <w:pPr>
        <w:pStyle w:val="Heading1"/>
        <w:rPr>
          <w:rStyle w:val="Heading1Char"/>
          <w:rFonts w:eastAsia="Arial"/>
          <w:b/>
        </w:rPr>
      </w:pPr>
      <w:r w:rsidRPr="00A60BA8">
        <w:rPr>
          <w:rStyle w:val="Heading1Char"/>
          <w:rFonts w:eastAsia="Arial"/>
          <w:b/>
        </w:rPr>
        <w:lastRenderedPageBreak/>
        <w:t>Introduction</w:t>
      </w:r>
    </w:p>
    <w:p w14:paraId="5AFB8DDF" w14:textId="77777777" w:rsidR="002720F7" w:rsidRPr="00DE52DC" w:rsidRDefault="002720F7" w:rsidP="002720F7">
      <w:r w:rsidRPr="00DE52DC">
        <w:t>If you receive a grant from Creative Victoria, at the conclusion of your funded activity you will need to complete an acquittal report – including financial reconciliation – that evaluates the project and accounts for how the funds have been spent.</w:t>
      </w:r>
    </w:p>
    <w:p w14:paraId="5AFB8DE0" w14:textId="77777777" w:rsidR="002720F7" w:rsidRDefault="002720F7" w:rsidP="002720F7">
      <w:r w:rsidRPr="00DE52DC">
        <w:t xml:space="preserve">Acquittals are completed </w:t>
      </w:r>
      <w:r w:rsidR="00512168">
        <w:t>via</w:t>
      </w:r>
      <w:r w:rsidRPr="00DE52DC">
        <w:t xml:space="preserve"> the online Creative Victoria Grants Portal at </w:t>
      </w:r>
      <w:hyperlink r:id="rId11" w:history="1">
        <w:r w:rsidR="0000218B" w:rsidRPr="00AF5942">
          <w:rPr>
            <w:rStyle w:val="Hyperlink"/>
          </w:rPr>
          <w:t>http://grants.creative.vic.gov.au</w:t>
        </w:r>
      </w:hyperlink>
      <w:r>
        <w:t>.</w:t>
      </w:r>
    </w:p>
    <w:p w14:paraId="5AFB8DE1" w14:textId="77777777" w:rsidR="002720F7" w:rsidRPr="00E36E42" w:rsidRDefault="002720F7" w:rsidP="00150BC3">
      <w:pPr>
        <w:pStyle w:val="Heading2"/>
        <w:spacing w:before="360" w:line="240" w:lineRule="auto"/>
        <w:rPr>
          <w:sz w:val="26"/>
        </w:rPr>
      </w:pPr>
      <w:r w:rsidRPr="00E36E42">
        <w:rPr>
          <w:sz w:val="26"/>
        </w:rPr>
        <w:t>Why you need to acquit your grant</w:t>
      </w:r>
    </w:p>
    <w:p w14:paraId="5AFB8DE2" w14:textId="77777777" w:rsidR="002720F7" w:rsidRPr="004F1CD7" w:rsidRDefault="002720F7" w:rsidP="002720F7">
      <w:pPr>
        <w:rPr>
          <w:rFonts w:eastAsia="MS Mincho"/>
        </w:rPr>
      </w:pPr>
      <w:r w:rsidRPr="004F1CD7">
        <w:rPr>
          <w:rFonts w:eastAsia="MS Mincho"/>
        </w:rPr>
        <w:t xml:space="preserve">Having completed your funded project, </w:t>
      </w:r>
      <w:r>
        <w:t xml:space="preserve">Creative </w:t>
      </w:r>
      <w:r w:rsidRPr="004F1CD7">
        <w:rPr>
          <w:rFonts w:eastAsia="MS Mincho"/>
        </w:rPr>
        <w:t>Victoria needs to gather information from you.</w:t>
      </w:r>
    </w:p>
    <w:p w14:paraId="5AFB8DE3" w14:textId="77777777" w:rsidR="002720F7" w:rsidRPr="00CB5766" w:rsidRDefault="002720F7" w:rsidP="002720F7">
      <w:r w:rsidRPr="00CB5766">
        <w:t xml:space="preserve">The information you provide in your </w:t>
      </w:r>
      <w:r>
        <w:t>online A</w:t>
      </w:r>
      <w:r w:rsidRPr="00CB5766">
        <w:t xml:space="preserve">cquittal </w:t>
      </w:r>
      <w:r>
        <w:t>R</w:t>
      </w:r>
      <w:r w:rsidRPr="00CB5766">
        <w:t>eport will:</w:t>
      </w:r>
    </w:p>
    <w:p w14:paraId="5AFB8DE4" w14:textId="77777777" w:rsidR="002720F7" w:rsidRPr="00CB5766" w:rsidRDefault="002720F7" w:rsidP="002720F7">
      <w:pPr>
        <w:numPr>
          <w:ilvl w:val="0"/>
          <w:numId w:val="16"/>
        </w:numPr>
        <w:spacing w:before="0" w:after="160" w:line="240" w:lineRule="auto"/>
        <w:ind w:left="284" w:hanging="284"/>
      </w:pPr>
      <w:r w:rsidRPr="00CB5766">
        <w:t xml:space="preserve">account for your use of public funds, demonstrating that the funding </w:t>
      </w:r>
      <w:r>
        <w:t xml:space="preserve">was </w:t>
      </w:r>
      <w:r w:rsidRPr="00CB5766">
        <w:t xml:space="preserve">used for the purpose for which it was provided and in accordance with your </w:t>
      </w:r>
      <w:r>
        <w:t>f</w:t>
      </w:r>
      <w:r w:rsidRPr="00CB5766">
        <w:t xml:space="preserve">unding </w:t>
      </w:r>
      <w:r>
        <w:t>ag</w:t>
      </w:r>
      <w:r w:rsidRPr="00CB5766">
        <w:t>reement</w:t>
      </w:r>
    </w:p>
    <w:p w14:paraId="5AFB8DE5" w14:textId="77777777" w:rsidR="002720F7" w:rsidRPr="00CB5766" w:rsidRDefault="002720F7" w:rsidP="002720F7">
      <w:pPr>
        <w:numPr>
          <w:ilvl w:val="0"/>
          <w:numId w:val="16"/>
        </w:numPr>
        <w:spacing w:before="0" w:after="160" w:line="240" w:lineRule="auto"/>
        <w:ind w:left="284" w:hanging="284"/>
      </w:pPr>
      <w:r w:rsidRPr="00CB5766">
        <w:t xml:space="preserve">assist </w:t>
      </w:r>
      <w:r>
        <w:t xml:space="preserve">Creative </w:t>
      </w:r>
      <w:r w:rsidRPr="00CB5766">
        <w:t>Victoria in assessing how successful funding programs are in meeting the needs of the arts sector and the Victorian community</w:t>
      </w:r>
    </w:p>
    <w:p w14:paraId="5AFB8DE6" w14:textId="77777777" w:rsidR="002720F7" w:rsidRPr="00CB5766" w:rsidRDefault="002720F7" w:rsidP="002720F7">
      <w:pPr>
        <w:numPr>
          <w:ilvl w:val="0"/>
          <w:numId w:val="16"/>
        </w:numPr>
        <w:spacing w:before="0" w:after="160" w:line="240" w:lineRule="auto"/>
        <w:ind w:left="284" w:hanging="284"/>
      </w:pPr>
      <w:r w:rsidRPr="00CB5766">
        <w:t>provide you with the opportunity to make suggestions regarding improvements to the funding program</w:t>
      </w:r>
    </w:p>
    <w:p w14:paraId="5AFB8DE7" w14:textId="77777777" w:rsidR="002720F7" w:rsidRPr="00E36E42" w:rsidRDefault="002720F7" w:rsidP="00E36E42">
      <w:pPr>
        <w:pStyle w:val="Heading2"/>
        <w:spacing w:before="360" w:line="240" w:lineRule="auto"/>
        <w:rPr>
          <w:sz w:val="26"/>
        </w:rPr>
      </w:pPr>
      <w:r w:rsidRPr="00E36E42">
        <w:rPr>
          <w:sz w:val="26"/>
        </w:rPr>
        <w:t>When should you acquit your grant?</w:t>
      </w:r>
    </w:p>
    <w:p w14:paraId="5AFB8DE8" w14:textId="77777777" w:rsidR="00E36E42" w:rsidRDefault="002720F7" w:rsidP="00E36E42">
      <w:pPr>
        <w:spacing w:after="240" w:line="240" w:lineRule="auto"/>
        <w:rPr>
          <w:rFonts w:eastAsia="MS Mincho"/>
        </w:rPr>
      </w:pPr>
      <w:r>
        <w:rPr>
          <w:rFonts w:eastAsia="MS Mincho"/>
        </w:rPr>
        <w:t xml:space="preserve">Your Acquittal Report due date and full acquittal requirements are </w:t>
      </w:r>
      <w:r w:rsidRPr="004F1CD7">
        <w:rPr>
          <w:rFonts w:eastAsia="MS Mincho"/>
        </w:rPr>
        <w:t xml:space="preserve">specified in your </w:t>
      </w:r>
      <w:r>
        <w:rPr>
          <w:rFonts w:eastAsia="MS Mincho"/>
        </w:rPr>
        <w:t xml:space="preserve">funding agreement and at </w:t>
      </w:r>
      <w:hyperlink r:id="rId12" w:history="1">
        <w:r w:rsidR="0000218B" w:rsidRPr="00AF5942">
          <w:rPr>
            <w:rStyle w:val="Hyperlink"/>
            <w:rFonts w:eastAsia="MS Mincho"/>
          </w:rPr>
          <w:t>www.creative.vic.gov.au/acquittal</w:t>
        </w:r>
      </w:hyperlink>
      <w:r>
        <w:rPr>
          <w:rFonts w:eastAsia="MS Mincho"/>
        </w:rPr>
        <w:t xml:space="preserve">. </w:t>
      </w:r>
    </w:p>
    <w:p w14:paraId="5AFB8DE9" w14:textId="77777777" w:rsidR="00AB1943" w:rsidRPr="00AB1943" w:rsidRDefault="00AB1943" w:rsidP="002720F7">
      <w:pPr>
        <w:pBdr>
          <w:top w:val="single" w:sz="4" w:space="1" w:color="auto"/>
          <w:left w:val="single" w:sz="4" w:space="4" w:color="auto"/>
          <w:bottom w:val="single" w:sz="4" w:space="1" w:color="auto"/>
          <w:right w:val="single" w:sz="4" w:space="4" w:color="auto"/>
        </w:pBdr>
        <w:rPr>
          <w:rFonts w:eastAsia="MS Mincho"/>
          <w:sz w:val="6"/>
          <w:szCs w:val="6"/>
        </w:rPr>
      </w:pPr>
    </w:p>
    <w:p w14:paraId="5AFB8DEA" w14:textId="77777777" w:rsidR="002720F7" w:rsidRDefault="002720F7" w:rsidP="002720F7">
      <w:pPr>
        <w:pBdr>
          <w:top w:val="single" w:sz="4" w:space="1" w:color="auto"/>
          <w:left w:val="single" w:sz="4" w:space="4" w:color="auto"/>
          <w:bottom w:val="single" w:sz="4" w:space="1" w:color="auto"/>
          <w:right w:val="single" w:sz="4" w:space="4" w:color="auto"/>
        </w:pBdr>
        <w:rPr>
          <w:rFonts w:eastAsia="MS Mincho"/>
        </w:rPr>
      </w:pPr>
      <w:r>
        <w:rPr>
          <w:rFonts w:eastAsia="MS Mincho"/>
        </w:rPr>
        <w:t>The acquittal form questions will be available online as soon as your grant is confirmed, but you won't be able to submit them until your project finishes.</w:t>
      </w:r>
    </w:p>
    <w:p w14:paraId="5AFB8DEB" w14:textId="77777777" w:rsidR="002720F7" w:rsidRDefault="002720F7" w:rsidP="002720F7">
      <w:pPr>
        <w:pBdr>
          <w:top w:val="single" w:sz="4" w:space="1" w:color="auto"/>
          <w:left w:val="single" w:sz="4" w:space="4" w:color="auto"/>
          <w:bottom w:val="single" w:sz="4" w:space="1" w:color="auto"/>
          <w:right w:val="single" w:sz="4" w:space="4" w:color="auto"/>
        </w:pBdr>
        <w:rPr>
          <w:rFonts w:eastAsia="MS Mincho"/>
        </w:rPr>
      </w:pPr>
      <w:r>
        <w:rPr>
          <w:rFonts w:eastAsia="MS Mincho"/>
        </w:rPr>
        <w:t xml:space="preserve">You </w:t>
      </w:r>
      <w:r w:rsidR="00512168">
        <w:rPr>
          <w:rFonts w:eastAsia="MS Mincho"/>
        </w:rPr>
        <w:t>can</w:t>
      </w:r>
      <w:r>
        <w:rPr>
          <w:rFonts w:eastAsia="MS Mincho"/>
        </w:rPr>
        <w:t xml:space="preserve"> start filling in the acquittal information as soon as you have it – this is particularly useful for grants that comprise multiple performances, </w:t>
      </w:r>
      <w:proofErr w:type="gramStart"/>
      <w:r>
        <w:rPr>
          <w:rFonts w:eastAsia="MS Mincho"/>
        </w:rPr>
        <w:t>exhibitions</w:t>
      </w:r>
      <w:proofErr w:type="gramEnd"/>
      <w:r>
        <w:rPr>
          <w:rFonts w:eastAsia="MS Mincho"/>
        </w:rPr>
        <w:t xml:space="preserve"> or workshops.</w:t>
      </w:r>
    </w:p>
    <w:p w14:paraId="5AFB8DEC" w14:textId="77777777" w:rsidR="00AB1943" w:rsidRPr="00AB1943" w:rsidRDefault="00AB1943" w:rsidP="002720F7">
      <w:pPr>
        <w:pBdr>
          <w:top w:val="single" w:sz="4" w:space="1" w:color="auto"/>
          <w:left w:val="single" w:sz="4" w:space="4" w:color="auto"/>
          <w:bottom w:val="single" w:sz="4" w:space="1" w:color="auto"/>
          <w:right w:val="single" w:sz="4" w:space="4" w:color="auto"/>
        </w:pBdr>
        <w:rPr>
          <w:rFonts w:eastAsia="MS Mincho"/>
          <w:sz w:val="6"/>
          <w:szCs w:val="6"/>
        </w:rPr>
      </w:pPr>
    </w:p>
    <w:p w14:paraId="5AFB8DED" w14:textId="77777777" w:rsidR="002720F7" w:rsidRPr="004F1CD7" w:rsidRDefault="002720F7" w:rsidP="00E36E42">
      <w:pPr>
        <w:spacing w:before="360" w:line="240" w:lineRule="auto"/>
        <w:rPr>
          <w:rFonts w:eastAsia="MS Mincho"/>
        </w:rPr>
      </w:pPr>
      <w:r w:rsidRPr="004F1CD7">
        <w:rPr>
          <w:rFonts w:eastAsia="MS Mincho"/>
        </w:rPr>
        <w:t xml:space="preserve">If you have any difficulty providing your report on time or complying with any </w:t>
      </w:r>
      <w:r>
        <w:rPr>
          <w:rFonts w:eastAsia="MS Mincho"/>
        </w:rPr>
        <w:t xml:space="preserve">specified </w:t>
      </w:r>
      <w:r w:rsidRPr="004F1CD7">
        <w:rPr>
          <w:rFonts w:eastAsia="MS Mincho"/>
        </w:rPr>
        <w:t xml:space="preserve">requirements, you should discuss this with </w:t>
      </w:r>
      <w:r>
        <w:rPr>
          <w:rFonts w:eastAsia="MS Mincho"/>
        </w:rPr>
        <w:t xml:space="preserve">your contact at Creative Victoria </w:t>
      </w:r>
      <w:r w:rsidRPr="004F1CD7">
        <w:rPr>
          <w:rFonts w:eastAsia="MS Mincho"/>
        </w:rPr>
        <w:t xml:space="preserve">as soon as possible. </w:t>
      </w:r>
    </w:p>
    <w:p w14:paraId="5AFB8DEE" w14:textId="77777777" w:rsidR="002720F7" w:rsidRPr="00D333C8" w:rsidRDefault="002720F7" w:rsidP="00E36E42">
      <w:pPr>
        <w:pStyle w:val="Heading2"/>
        <w:spacing w:before="360" w:line="240" w:lineRule="auto"/>
        <w:rPr>
          <w:sz w:val="26"/>
        </w:rPr>
      </w:pPr>
      <w:r w:rsidRPr="00D333C8">
        <w:rPr>
          <w:sz w:val="26"/>
        </w:rPr>
        <w:t>What happens if you don’t acquit?</w:t>
      </w:r>
    </w:p>
    <w:p w14:paraId="5AFB8DEF" w14:textId="77777777" w:rsidR="002720F7" w:rsidRPr="002C2A5A" w:rsidRDefault="002720F7" w:rsidP="002720F7">
      <w:pPr>
        <w:rPr>
          <w:rFonts w:eastAsia="MS Mincho"/>
        </w:rPr>
      </w:pPr>
      <w:r w:rsidRPr="002C2A5A">
        <w:rPr>
          <w:rFonts w:eastAsia="MS Mincho"/>
        </w:rPr>
        <w:t xml:space="preserve">If you do not satisfactorily acquit your grant you will not be eligible to apply for further </w:t>
      </w:r>
      <w:r>
        <w:t xml:space="preserve">Creative </w:t>
      </w:r>
      <w:r w:rsidRPr="002C2A5A">
        <w:rPr>
          <w:rFonts w:eastAsia="MS Mincho"/>
        </w:rPr>
        <w:t>Victoria funding and action may be taken to recover the grant.</w:t>
      </w:r>
    </w:p>
    <w:p w14:paraId="5AFB8DF0" w14:textId="77777777" w:rsidR="002720F7" w:rsidRPr="00D333C8" w:rsidRDefault="00A94F8D" w:rsidP="002720F7">
      <w:pPr>
        <w:pStyle w:val="Heading2"/>
        <w:rPr>
          <w:sz w:val="26"/>
        </w:rPr>
      </w:pPr>
      <w:r>
        <w:br w:type="page"/>
      </w:r>
      <w:r w:rsidR="002720F7" w:rsidRPr="00D333C8">
        <w:rPr>
          <w:sz w:val="26"/>
        </w:rPr>
        <w:lastRenderedPageBreak/>
        <w:t>Acceptance of your acquittal</w:t>
      </w:r>
    </w:p>
    <w:p w14:paraId="5AFB8DF1" w14:textId="77777777" w:rsidR="002720F7" w:rsidRDefault="002720F7" w:rsidP="007B3A24">
      <w:pPr>
        <w:spacing w:after="240"/>
        <w:rPr>
          <w:rFonts w:eastAsia="MS Mincho"/>
        </w:rPr>
      </w:pPr>
      <w:r>
        <w:rPr>
          <w:rFonts w:eastAsia="MS Mincho"/>
        </w:rPr>
        <w:t xml:space="preserve">We will notify you once we have </w:t>
      </w:r>
      <w:r w:rsidRPr="0050769B">
        <w:rPr>
          <w:rFonts w:eastAsia="MS Mincho"/>
        </w:rPr>
        <w:t xml:space="preserve">received and accepted your </w:t>
      </w:r>
      <w:r>
        <w:rPr>
          <w:rFonts w:eastAsia="MS Mincho"/>
        </w:rPr>
        <w:t>A</w:t>
      </w:r>
      <w:r w:rsidRPr="0050769B">
        <w:rPr>
          <w:rFonts w:eastAsia="MS Mincho"/>
        </w:rPr>
        <w:t xml:space="preserve">cquittal </w:t>
      </w:r>
      <w:r>
        <w:rPr>
          <w:rFonts w:eastAsia="MS Mincho"/>
        </w:rPr>
        <w:t>R</w:t>
      </w:r>
      <w:r w:rsidRPr="0050769B">
        <w:rPr>
          <w:rFonts w:eastAsia="MS Mincho"/>
        </w:rPr>
        <w:t>eport</w:t>
      </w:r>
      <w:r>
        <w:rPr>
          <w:rFonts w:eastAsia="MS Mincho"/>
        </w:rPr>
        <w:t xml:space="preserve">.  You </w:t>
      </w:r>
      <w:r w:rsidRPr="0050769B">
        <w:rPr>
          <w:rFonts w:eastAsia="MS Mincho"/>
        </w:rPr>
        <w:t xml:space="preserve">will </w:t>
      </w:r>
      <w:r>
        <w:rPr>
          <w:rFonts w:eastAsia="MS Mincho"/>
        </w:rPr>
        <w:t xml:space="preserve">then </w:t>
      </w:r>
      <w:r w:rsidRPr="0050769B">
        <w:rPr>
          <w:rFonts w:eastAsia="MS Mincho"/>
        </w:rPr>
        <w:t xml:space="preserve">have completed </w:t>
      </w:r>
      <w:proofErr w:type="gramStart"/>
      <w:r w:rsidRPr="0050769B">
        <w:rPr>
          <w:rFonts w:eastAsia="MS Mincho"/>
        </w:rPr>
        <w:t>all of</w:t>
      </w:r>
      <w:proofErr w:type="gramEnd"/>
      <w:r w:rsidRPr="0050769B">
        <w:rPr>
          <w:rFonts w:eastAsia="MS Mincho"/>
        </w:rPr>
        <w:t xml:space="preserve"> your obligations under the </w:t>
      </w:r>
      <w:r>
        <w:rPr>
          <w:rFonts w:eastAsia="MS Mincho"/>
        </w:rPr>
        <w:t>f</w:t>
      </w:r>
      <w:r w:rsidRPr="0050769B">
        <w:rPr>
          <w:rFonts w:eastAsia="MS Mincho"/>
        </w:rPr>
        <w:t xml:space="preserve">unding </w:t>
      </w:r>
      <w:r>
        <w:rPr>
          <w:rFonts w:eastAsia="MS Mincho"/>
        </w:rPr>
        <w:t>a</w:t>
      </w:r>
      <w:r w:rsidRPr="0050769B">
        <w:rPr>
          <w:rFonts w:eastAsia="MS Mincho"/>
        </w:rPr>
        <w:t>greement.</w:t>
      </w:r>
    </w:p>
    <w:p w14:paraId="5AFB8DF2" w14:textId="77777777" w:rsidR="002720F7" w:rsidRPr="00D333C8" w:rsidRDefault="002720F7" w:rsidP="00D333C8">
      <w:pPr>
        <w:pStyle w:val="Heading2"/>
        <w:pBdr>
          <w:top w:val="single" w:sz="4" w:space="1" w:color="auto"/>
          <w:left w:val="single" w:sz="4" w:space="4" w:color="auto"/>
          <w:bottom w:val="single" w:sz="4" w:space="1" w:color="auto"/>
          <w:right w:val="single" w:sz="4" w:space="4" w:color="auto"/>
        </w:pBdr>
        <w:tabs>
          <w:tab w:val="left" w:pos="4812"/>
        </w:tabs>
        <w:spacing w:before="240" w:after="120"/>
        <w:rPr>
          <w:sz w:val="26"/>
        </w:rPr>
      </w:pPr>
      <w:r w:rsidRPr="00D333C8">
        <w:rPr>
          <w:sz w:val="26"/>
        </w:rPr>
        <w:t>Auspiced grants</w:t>
      </w:r>
    </w:p>
    <w:p w14:paraId="5AFB8DF3" w14:textId="77777777" w:rsidR="002720F7" w:rsidRDefault="002720F7" w:rsidP="002720F7">
      <w:pPr>
        <w:pBdr>
          <w:top w:val="single" w:sz="4" w:space="1" w:color="auto"/>
          <w:left w:val="single" w:sz="4" w:space="4" w:color="auto"/>
          <w:bottom w:val="single" w:sz="4" w:space="1" w:color="auto"/>
          <w:right w:val="single" w:sz="4" w:space="4" w:color="auto"/>
        </w:pBdr>
      </w:pPr>
      <w:r>
        <w:t xml:space="preserve">As with the application process, if the grant is being auspiced both the auspicing body and the individual artist may complete the </w:t>
      </w:r>
      <w:proofErr w:type="gramStart"/>
      <w:r>
        <w:t>forms</w:t>
      </w:r>
      <w:proofErr w:type="gramEnd"/>
      <w:r>
        <w:t xml:space="preserve"> but the acquittal can only be submitted by the auspicing body.  </w:t>
      </w:r>
    </w:p>
    <w:p w14:paraId="5AFB8DF4" w14:textId="77777777" w:rsidR="00AB1943" w:rsidRPr="00AB1943" w:rsidRDefault="00AB1943" w:rsidP="002720F7">
      <w:pPr>
        <w:pBdr>
          <w:top w:val="single" w:sz="4" w:space="1" w:color="auto"/>
          <w:left w:val="single" w:sz="4" w:space="4" w:color="auto"/>
          <w:bottom w:val="single" w:sz="4" w:space="1" w:color="auto"/>
          <w:right w:val="single" w:sz="4" w:space="4" w:color="auto"/>
        </w:pBdr>
        <w:rPr>
          <w:sz w:val="6"/>
          <w:szCs w:val="6"/>
        </w:rPr>
      </w:pPr>
    </w:p>
    <w:p w14:paraId="5AFB8DF5" w14:textId="77777777" w:rsidR="002720F7" w:rsidRDefault="002720F7" w:rsidP="00E64D29">
      <w:pPr>
        <w:pStyle w:val="Heading1"/>
        <w:spacing w:before="360" w:line="240" w:lineRule="auto"/>
      </w:pPr>
      <w:r>
        <w:t>How to submit an online acquittal</w:t>
      </w:r>
    </w:p>
    <w:p w14:paraId="5AFB8DF6" w14:textId="77777777" w:rsidR="002720F7" w:rsidRPr="00D333C8" w:rsidRDefault="002720F7" w:rsidP="002720F7">
      <w:pPr>
        <w:pStyle w:val="Heading2"/>
        <w:rPr>
          <w:sz w:val="26"/>
        </w:rPr>
      </w:pPr>
      <w:r w:rsidRPr="00D333C8">
        <w:rPr>
          <w:sz w:val="26"/>
        </w:rPr>
        <w:t>Getting started</w:t>
      </w:r>
    </w:p>
    <w:p w14:paraId="5AFB8DF7" w14:textId="77777777" w:rsidR="002720F7" w:rsidRDefault="002720F7" w:rsidP="002720F7">
      <w:r>
        <w:t xml:space="preserve">Acquittals are submitted online using the Creative Victoria Grants Portal. You'll need to log into the Grants Portal using the email address you registered </w:t>
      </w:r>
      <w:proofErr w:type="gramStart"/>
      <w:r>
        <w:t>with:</w:t>
      </w:r>
      <w:proofErr w:type="gramEnd"/>
      <w:r>
        <w:t xml:space="preserve"> this will be the same email address that the acquittal reminder email sent to.</w:t>
      </w:r>
    </w:p>
    <w:p w14:paraId="5AFB8DF8" w14:textId="77777777" w:rsidR="002720F7" w:rsidRDefault="002720F7" w:rsidP="00E64D29">
      <w:pPr>
        <w:spacing w:after="240"/>
      </w:pPr>
      <w:r>
        <w:t>You can find the link the Acquittal Report forms in the MY GRANTS section of the Grants Portal.</w:t>
      </w:r>
    </w:p>
    <w:p w14:paraId="5AFB8DF9" w14:textId="77777777" w:rsidR="002720F7" w:rsidRDefault="004B0F9B" w:rsidP="00E64D29">
      <w:pPr>
        <w:spacing w:before="240"/>
        <w:jc w:val="center"/>
      </w:pPr>
      <w:r w:rsidRPr="00974AE2">
        <w:rPr>
          <w:noProof/>
          <w:bdr w:val="single" w:sz="12" w:space="0" w:color="A6A6A6"/>
          <w:lang w:eastAsia="en-AU"/>
        </w:rPr>
        <w:drawing>
          <wp:inline distT="0" distB="0" distL="0" distR="0" wp14:anchorId="5AFB8E5E" wp14:editId="5AFB8E5F">
            <wp:extent cx="5211445" cy="1292225"/>
            <wp:effectExtent l="19050" t="19050" r="8255"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14740"/>
                    <a:stretch>
                      <a:fillRect/>
                    </a:stretch>
                  </pic:blipFill>
                  <pic:spPr bwMode="auto">
                    <a:xfrm>
                      <a:off x="0" y="0"/>
                      <a:ext cx="5211445" cy="1292225"/>
                    </a:xfrm>
                    <a:prstGeom prst="rect">
                      <a:avLst/>
                    </a:prstGeom>
                    <a:noFill/>
                    <a:ln w="19050" cmpd="sng">
                      <a:solidFill>
                        <a:schemeClr val="bg1">
                          <a:lumMod val="65000"/>
                          <a:lumOff val="0"/>
                        </a:schemeClr>
                      </a:solidFill>
                      <a:miter lim="800000"/>
                      <a:headEnd/>
                      <a:tailEnd/>
                    </a:ln>
                    <a:effectLst/>
                  </pic:spPr>
                </pic:pic>
              </a:graphicData>
            </a:graphic>
          </wp:inline>
        </w:drawing>
      </w:r>
    </w:p>
    <w:p w14:paraId="5AFB8DFA" w14:textId="77777777" w:rsidR="002720F7" w:rsidRDefault="002720F7" w:rsidP="00E64D29">
      <w:pPr>
        <w:keepNext/>
        <w:spacing w:before="240"/>
      </w:pPr>
      <w:r>
        <w:t>After clicking into the grant and selecting Acquittal, you will be taken to the acquittal Summary Screen where you will see there are eight short sections to complete in a standard acquittal, plus the opportunity to submit acquittal support material.</w:t>
      </w:r>
    </w:p>
    <w:p w14:paraId="5AFB8DFB" w14:textId="77777777" w:rsidR="002720F7" w:rsidRPr="00566F20" w:rsidRDefault="002720F7" w:rsidP="002720F7">
      <w:pPr>
        <w:pStyle w:val="Heading3"/>
        <w:pBdr>
          <w:top w:val="single" w:sz="4" w:space="1" w:color="auto"/>
          <w:left w:val="single" w:sz="4" w:space="4" w:color="auto"/>
          <w:bottom w:val="single" w:sz="4" w:space="1" w:color="auto"/>
          <w:right w:val="single" w:sz="4" w:space="4" w:color="auto"/>
        </w:pBdr>
        <w:rPr>
          <w:i/>
          <w:color w:val="201547"/>
        </w:rPr>
      </w:pPr>
      <w:r w:rsidRPr="00566F20">
        <w:rPr>
          <w:i/>
          <w:color w:val="201547"/>
        </w:rPr>
        <w:t>Do you have to answer every question?</w:t>
      </w:r>
    </w:p>
    <w:p w14:paraId="5AFB8DFC" w14:textId="77777777" w:rsidR="002720F7" w:rsidRPr="00F3660B" w:rsidRDefault="002720F7" w:rsidP="002720F7">
      <w:pPr>
        <w:keepNext/>
        <w:keepLines/>
        <w:pBdr>
          <w:top w:val="single" w:sz="4" w:space="1" w:color="auto"/>
          <w:left w:val="single" w:sz="4" w:space="4" w:color="auto"/>
          <w:bottom w:val="single" w:sz="4" w:space="1" w:color="auto"/>
          <w:right w:val="single" w:sz="4" w:space="4" w:color="auto"/>
        </w:pBdr>
        <w:rPr>
          <w:rFonts w:eastAsia="MS Mincho"/>
        </w:rPr>
      </w:pPr>
      <w:r w:rsidRPr="00F3660B">
        <w:rPr>
          <w:rFonts w:eastAsia="MS Mincho"/>
        </w:rPr>
        <w:t xml:space="preserve">While the form itself requires most questions have an answer entered, some questions may not be relevant to your project.  In these cases, please answer </w:t>
      </w:r>
      <w:r w:rsidRPr="00F3660B">
        <w:rPr>
          <w:rFonts w:eastAsia="MS Mincho"/>
          <w:b/>
          <w:bCs/>
        </w:rPr>
        <w:t>N/A</w:t>
      </w:r>
      <w:r w:rsidRPr="00F3660B">
        <w:rPr>
          <w:rFonts w:eastAsia="MS Mincho"/>
          <w:bCs/>
        </w:rPr>
        <w:t xml:space="preserve"> (not applicable), </w:t>
      </w:r>
      <w:r w:rsidRPr="00F3660B">
        <w:rPr>
          <w:rFonts w:eastAsia="MS Mincho"/>
          <w:b/>
          <w:bCs/>
        </w:rPr>
        <w:t>0</w:t>
      </w:r>
      <w:r w:rsidRPr="00F3660B">
        <w:rPr>
          <w:rFonts w:eastAsia="MS Mincho"/>
          <w:bCs/>
        </w:rPr>
        <w:t xml:space="preserve"> (zero, for answers that require a number) or, in cases where you are unable to provide the information, please answer</w:t>
      </w:r>
      <w:r w:rsidRPr="00F3660B">
        <w:rPr>
          <w:rFonts w:eastAsia="MS Mincho"/>
          <w:b/>
          <w:bCs/>
        </w:rPr>
        <w:t xml:space="preserve"> DK</w:t>
      </w:r>
      <w:r w:rsidRPr="00F3660B">
        <w:rPr>
          <w:rFonts w:eastAsia="MS Mincho"/>
          <w:bCs/>
        </w:rPr>
        <w:t xml:space="preserve"> (don’t know)</w:t>
      </w:r>
      <w:r w:rsidRPr="00F3660B">
        <w:rPr>
          <w:rFonts w:eastAsia="MS Mincho"/>
        </w:rPr>
        <w:t>.</w:t>
      </w:r>
    </w:p>
    <w:p w14:paraId="5AFB8DFD" w14:textId="77777777" w:rsidR="002720F7" w:rsidRDefault="002720F7" w:rsidP="002720F7">
      <w:pPr>
        <w:pBdr>
          <w:top w:val="single" w:sz="4" w:space="1" w:color="auto"/>
          <w:left w:val="single" w:sz="4" w:space="4" w:color="auto"/>
          <w:bottom w:val="single" w:sz="4" w:space="1" w:color="auto"/>
          <w:right w:val="single" w:sz="4" w:space="4" w:color="auto"/>
        </w:pBdr>
        <w:rPr>
          <w:rFonts w:eastAsia="MS Mincho"/>
        </w:rPr>
      </w:pPr>
      <w:r>
        <w:rPr>
          <w:rFonts w:eastAsia="MS Mincho"/>
        </w:rPr>
        <w:t>The Check Acquittal on button at the bottom of the summary screen will let you know if you've missed any questions.</w:t>
      </w:r>
    </w:p>
    <w:p w14:paraId="5AFB8DFE" w14:textId="77777777" w:rsidR="00E64D29" w:rsidRPr="00E64D29" w:rsidRDefault="00E64D29" w:rsidP="002720F7">
      <w:pPr>
        <w:pBdr>
          <w:top w:val="single" w:sz="4" w:space="1" w:color="auto"/>
          <w:left w:val="single" w:sz="4" w:space="4" w:color="auto"/>
          <w:bottom w:val="single" w:sz="4" w:space="1" w:color="auto"/>
          <w:right w:val="single" w:sz="4" w:space="4" w:color="auto"/>
        </w:pBdr>
        <w:rPr>
          <w:rFonts w:eastAsia="MS Mincho"/>
          <w:sz w:val="6"/>
          <w:szCs w:val="6"/>
        </w:rPr>
      </w:pPr>
    </w:p>
    <w:p w14:paraId="5AFB8DFF" w14:textId="77777777" w:rsidR="002720F7" w:rsidRPr="00F3660B" w:rsidRDefault="00E64D29" w:rsidP="00F3660B">
      <w:pPr>
        <w:pStyle w:val="Heading2"/>
        <w:rPr>
          <w:sz w:val="26"/>
        </w:rPr>
      </w:pPr>
      <w:r>
        <w:br w:type="page"/>
      </w:r>
      <w:r w:rsidR="002720F7" w:rsidRPr="00F3660B">
        <w:rPr>
          <w:sz w:val="26"/>
        </w:rPr>
        <w:lastRenderedPageBreak/>
        <w:t>Section 1 – General Section</w:t>
      </w:r>
    </w:p>
    <w:p w14:paraId="5AFB8E00" w14:textId="77777777" w:rsidR="002720F7" w:rsidRDefault="002720F7" w:rsidP="002720F7">
      <w:r>
        <w:t xml:space="preserve">This allows you to revise the original project title and dates.  </w:t>
      </w:r>
    </w:p>
    <w:p w14:paraId="5AFB8E01" w14:textId="77777777" w:rsidR="002720F7" w:rsidRDefault="002720F7" w:rsidP="002720F7">
      <w:r>
        <w:t>You only need to enter a new project</w:t>
      </w:r>
      <w:r w:rsidR="00512168">
        <w:t xml:space="preserve"> title if it's changed, but conformation of</w:t>
      </w:r>
      <w:r>
        <w:t xml:space="preserve"> the project </w:t>
      </w:r>
      <w:proofErr w:type="gramStart"/>
      <w:r>
        <w:t>start</w:t>
      </w:r>
      <w:proofErr w:type="gramEnd"/>
      <w:r>
        <w:t xml:space="preserve"> and end dates</w:t>
      </w:r>
      <w:r w:rsidR="00512168">
        <w:t xml:space="preserve"> is mandatory</w:t>
      </w:r>
      <w:r>
        <w:t>.</w:t>
      </w:r>
    </w:p>
    <w:p w14:paraId="5AFB8E02" w14:textId="77777777" w:rsidR="002720F7" w:rsidRPr="00F3660B" w:rsidRDefault="002720F7" w:rsidP="00F3660B">
      <w:pPr>
        <w:pStyle w:val="Heading2"/>
        <w:spacing w:before="360"/>
        <w:rPr>
          <w:sz w:val="26"/>
        </w:rPr>
      </w:pPr>
      <w:r w:rsidRPr="00F3660B">
        <w:rPr>
          <w:sz w:val="26"/>
        </w:rPr>
        <w:t>Section 2 – Project Evaluation</w:t>
      </w:r>
    </w:p>
    <w:p w14:paraId="5AFB8E03" w14:textId="77777777" w:rsidR="002720F7" w:rsidRDefault="002720F7" w:rsidP="002720F7">
      <w:r>
        <w:t>The three questions in this section allow you to reflect on your project in qualitative terms.  They are:</w:t>
      </w:r>
    </w:p>
    <w:p w14:paraId="5AFB8E04" w14:textId="77777777" w:rsidR="002720F7" w:rsidRPr="002720F7" w:rsidRDefault="002720F7" w:rsidP="002720F7">
      <w:pPr>
        <w:numPr>
          <w:ilvl w:val="0"/>
          <w:numId w:val="17"/>
        </w:numPr>
        <w:spacing w:before="0" w:after="80" w:line="240" w:lineRule="auto"/>
        <w:ind w:left="284" w:hanging="256"/>
      </w:pPr>
      <w:r w:rsidRPr="002720F7">
        <w:t>Describe the funded activity, including any changes to the project that was outlined in your original application.</w:t>
      </w:r>
    </w:p>
    <w:p w14:paraId="5AFB8E05" w14:textId="77777777" w:rsidR="002720F7" w:rsidRPr="002720F7" w:rsidRDefault="002720F7" w:rsidP="002720F7">
      <w:pPr>
        <w:numPr>
          <w:ilvl w:val="0"/>
          <w:numId w:val="17"/>
        </w:numPr>
        <w:spacing w:before="0" w:after="80" w:line="240" w:lineRule="auto"/>
        <w:ind w:left="284" w:hanging="256"/>
      </w:pPr>
      <w:r w:rsidRPr="002720F7">
        <w:t xml:space="preserve">Provide an assessment of the impact of your project (with </w:t>
      </w:r>
      <w:proofErr w:type="gramStart"/>
      <w:r w:rsidRPr="002720F7">
        <w:t>particular reference</w:t>
      </w:r>
      <w:proofErr w:type="gramEnd"/>
      <w:r w:rsidRPr="002720F7">
        <w:t xml:space="preserve"> to the objectives stated in your application) and include any unexpected outcomes.</w:t>
      </w:r>
    </w:p>
    <w:p w14:paraId="5AFB8E06" w14:textId="77777777" w:rsidR="002720F7" w:rsidRPr="002720F7" w:rsidRDefault="002720F7" w:rsidP="002720F7">
      <w:pPr>
        <w:numPr>
          <w:ilvl w:val="0"/>
          <w:numId w:val="17"/>
        </w:numPr>
        <w:spacing w:before="0" w:after="80" w:line="240" w:lineRule="auto"/>
        <w:ind w:left="284" w:hanging="256"/>
      </w:pPr>
      <w:r w:rsidRPr="002720F7">
        <w:t>In evaluating your project, is there anything you would do differently? If so, please describe.</w:t>
      </w:r>
    </w:p>
    <w:p w14:paraId="5AFB8E07" w14:textId="77777777" w:rsidR="002720F7" w:rsidRPr="005E22C9" w:rsidRDefault="002720F7" w:rsidP="00F3660B">
      <w:pPr>
        <w:spacing w:before="240"/>
      </w:pPr>
      <w:r w:rsidRPr="00D45DB6">
        <w:t>Try to be as objective as you can as this evaluation contributes to the continual improvement of program management.</w:t>
      </w:r>
    </w:p>
    <w:p w14:paraId="5AFB8E08" w14:textId="77777777" w:rsidR="002720F7" w:rsidRPr="00F3660B" w:rsidRDefault="002720F7" w:rsidP="00F3660B">
      <w:pPr>
        <w:pStyle w:val="Heading2"/>
        <w:spacing w:before="360"/>
        <w:rPr>
          <w:sz w:val="26"/>
        </w:rPr>
      </w:pPr>
      <w:r w:rsidRPr="00F3660B">
        <w:rPr>
          <w:sz w:val="26"/>
        </w:rPr>
        <w:t>Section 3 – Activity and Attendance</w:t>
      </w:r>
    </w:p>
    <w:p w14:paraId="5AFB8E09" w14:textId="77777777" w:rsidR="002720F7" w:rsidRDefault="002720F7" w:rsidP="002720F7">
      <w:r>
        <w:t>To help us monitor Creative Victoria's geographic distribution of funds we collect the location(s) of wher</w:t>
      </w:r>
      <w:r w:rsidR="00FA264E">
        <w:t>e funded activities take place, and the type of attendances (ticketed vs non-ticketed, and paid vs unpaid).</w:t>
      </w:r>
    </w:p>
    <w:p w14:paraId="5AFB8E0A" w14:textId="77777777" w:rsidR="002720F7" w:rsidRDefault="002720F7" w:rsidP="002720F7">
      <w:r>
        <w:t xml:space="preserve">Your project might have involved one or many activities. Enter a separate activity by clicking the </w:t>
      </w:r>
      <w:r w:rsidR="00512168">
        <w:t>“</w:t>
      </w:r>
      <w:r>
        <w:t>Add an Activity</w:t>
      </w:r>
      <w:r w:rsidR="00512168">
        <w:t>”</w:t>
      </w:r>
      <w:r>
        <w:t xml:space="preserve"> button.  </w:t>
      </w:r>
    </w:p>
    <w:p w14:paraId="5AFB8E0B" w14:textId="77777777" w:rsidR="002720F7" w:rsidRDefault="002720F7" w:rsidP="002720F7">
      <w:r>
        <w:t>If your activity involved touring an activity, please enter a separate activity record for each suburb visited.  Similarly, if you completed different activities in one place, enter separate records.</w:t>
      </w:r>
    </w:p>
    <w:p w14:paraId="5AFB8E0C" w14:textId="77777777" w:rsidR="002720F7" w:rsidRDefault="002720F7" w:rsidP="002720F7">
      <w:r>
        <w:t xml:space="preserve">If your project involved essentially one activity that ran over </w:t>
      </w:r>
      <w:proofErr w:type="gramStart"/>
      <w:r>
        <w:t>a number of</w:t>
      </w:r>
      <w:proofErr w:type="gramEnd"/>
      <w:r>
        <w:t xml:space="preserve"> days or nights, just enter one record and enter the commencement date as the Activity Date. Use the Number of Activities field to show how many performances, </w:t>
      </w:r>
      <w:proofErr w:type="gramStart"/>
      <w:r>
        <w:t>days</w:t>
      </w:r>
      <w:proofErr w:type="gramEnd"/>
      <w:r>
        <w:t xml:space="preserve"> or sessions it had.</w:t>
      </w:r>
    </w:p>
    <w:p w14:paraId="5AFB8E0D" w14:textId="77777777" w:rsidR="00AF1110" w:rsidRPr="005E22C9" w:rsidRDefault="004B0F9B" w:rsidP="00F3660B">
      <w:pPr>
        <w:jc w:val="center"/>
      </w:pPr>
      <w:r w:rsidRPr="00974AE2">
        <w:rPr>
          <w:noProof/>
          <w:bdr w:val="single" w:sz="12" w:space="0" w:color="A6A6A6"/>
          <w:lang w:eastAsia="en-AU"/>
        </w:rPr>
        <w:lastRenderedPageBreak/>
        <w:drawing>
          <wp:inline distT="0" distB="0" distL="0" distR="0" wp14:anchorId="5AFB8E60" wp14:editId="5AFB8E61">
            <wp:extent cx="5218430" cy="4308475"/>
            <wp:effectExtent l="19050" t="1905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8430" cy="4308475"/>
                    </a:xfrm>
                    <a:prstGeom prst="rect">
                      <a:avLst/>
                    </a:prstGeom>
                    <a:noFill/>
                    <a:ln w="19050" cmpd="sng">
                      <a:solidFill>
                        <a:schemeClr val="bg1">
                          <a:lumMod val="65000"/>
                          <a:lumOff val="0"/>
                        </a:schemeClr>
                      </a:solidFill>
                      <a:miter lim="800000"/>
                      <a:headEnd/>
                      <a:tailEnd/>
                    </a:ln>
                    <a:effectLst/>
                  </pic:spPr>
                </pic:pic>
              </a:graphicData>
            </a:graphic>
          </wp:inline>
        </w:drawing>
      </w:r>
    </w:p>
    <w:p w14:paraId="5AFB8E0E" w14:textId="77777777" w:rsidR="002720F7" w:rsidRPr="00F3660B" w:rsidRDefault="002720F7" w:rsidP="00F3660B">
      <w:pPr>
        <w:pStyle w:val="Heading2"/>
        <w:spacing w:before="360"/>
        <w:rPr>
          <w:sz w:val="26"/>
        </w:rPr>
      </w:pPr>
      <w:r w:rsidRPr="00F3660B">
        <w:rPr>
          <w:sz w:val="26"/>
        </w:rPr>
        <w:t>Section 4 – Activity Targets</w:t>
      </w:r>
    </w:p>
    <w:p w14:paraId="5AFB8E0F" w14:textId="77777777" w:rsidR="002720F7" w:rsidRDefault="002720F7" w:rsidP="002720F7">
      <w:r>
        <w:t xml:space="preserve">This is where you record how many specific community participants – </w:t>
      </w:r>
      <w:proofErr w:type="spellStart"/>
      <w:r>
        <w:t>ie</w:t>
      </w:r>
      <w:proofErr w:type="spellEnd"/>
      <w:r>
        <w:t>, those who are not professional artists – were involved in the funded project.</w:t>
      </w:r>
    </w:p>
    <w:p w14:paraId="5AFB8E10" w14:textId="77777777" w:rsidR="002720F7" w:rsidRDefault="002720F7" w:rsidP="002720F7">
      <w:r>
        <w:t>Specific communities include</w:t>
      </w:r>
      <w:r w:rsidRPr="005B0AB9">
        <w:t>:</w:t>
      </w:r>
    </w:p>
    <w:p w14:paraId="5AFB8E11" w14:textId="77777777" w:rsidR="002720F7" w:rsidRDefault="002720F7" w:rsidP="002720F7">
      <w:pPr>
        <w:numPr>
          <w:ilvl w:val="0"/>
          <w:numId w:val="17"/>
        </w:numPr>
        <w:spacing w:before="0" w:after="80" w:line="240" w:lineRule="auto"/>
        <w:ind w:left="284" w:hanging="256"/>
      </w:pPr>
      <w:r w:rsidRPr="005B0AB9">
        <w:t>Children (up to 12 years old)</w:t>
      </w:r>
    </w:p>
    <w:p w14:paraId="5AFB8E12" w14:textId="77777777" w:rsidR="002720F7" w:rsidRDefault="002720F7" w:rsidP="002720F7">
      <w:pPr>
        <w:numPr>
          <w:ilvl w:val="0"/>
          <w:numId w:val="17"/>
        </w:numPr>
        <w:spacing w:before="0" w:after="80" w:line="240" w:lineRule="auto"/>
        <w:ind w:left="284" w:hanging="256"/>
      </w:pPr>
      <w:r w:rsidRPr="005B0AB9">
        <w:t>Youth (12 to 25 years old)</w:t>
      </w:r>
    </w:p>
    <w:p w14:paraId="5AFB8E13" w14:textId="77777777" w:rsidR="002720F7" w:rsidRDefault="002720F7" w:rsidP="002720F7">
      <w:pPr>
        <w:numPr>
          <w:ilvl w:val="0"/>
          <w:numId w:val="17"/>
        </w:numPr>
        <w:spacing w:before="0" w:after="80" w:line="240" w:lineRule="auto"/>
        <w:ind w:left="284" w:hanging="256"/>
      </w:pPr>
      <w:r w:rsidRPr="005B0AB9">
        <w:t>Women</w:t>
      </w:r>
    </w:p>
    <w:p w14:paraId="5AFB8E14" w14:textId="77777777" w:rsidR="002720F7" w:rsidRDefault="002720F7" w:rsidP="002720F7">
      <w:pPr>
        <w:numPr>
          <w:ilvl w:val="0"/>
          <w:numId w:val="17"/>
        </w:numPr>
        <w:spacing w:before="0" w:after="80" w:line="240" w:lineRule="auto"/>
        <w:ind w:left="284" w:hanging="256"/>
      </w:pPr>
      <w:r w:rsidRPr="005B0AB9">
        <w:t>Aboriginal / Torres Strait Islander people</w:t>
      </w:r>
    </w:p>
    <w:p w14:paraId="5AFB8E15" w14:textId="77777777" w:rsidR="002720F7" w:rsidRDefault="002720F7" w:rsidP="002720F7">
      <w:pPr>
        <w:numPr>
          <w:ilvl w:val="0"/>
          <w:numId w:val="17"/>
        </w:numPr>
        <w:spacing w:before="0" w:after="80" w:line="240" w:lineRule="auto"/>
        <w:ind w:left="284" w:hanging="256"/>
      </w:pPr>
      <w:r w:rsidRPr="005B0AB9">
        <w:t>People from culturally and linguistically diverse backgrounds</w:t>
      </w:r>
    </w:p>
    <w:p w14:paraId="5AFB8E16" w14:textId="77777777" w:rsidR="002720F7" w:rsidRDefault="002720F7" w:rsidP="002720F7">
      <w:pPr>
        <w:numPr>
          <w:ilvl w:val="0"/>
          <w:numId w:val="17"/>
        </w:numPr>
        <w:spacing w:before="0" w:after="80" w:line="240" w:lineRule="auto"/>
        <w:ind w:left="284" w:hanging="256"/>
      </w:pPr>
      <w:r>
        <w:t>P</w:t>
      </w:r>
      <w:r w:rsidRPr="005B0AB9">
        <w:t>eople with disabilities</w:t>
      </w:r>
    </w:p>
    <w:p w14:paraId="5AFB8E17" w14:textId="77777777" w:rsidR="002720F7" w:rsidRDefault="002720F7" w:rsidP="002720F7">
      <w:pPr>
        <w:numPr>
          <w:ilvl w:val="0"/>
          <w:numId w:val="17"/>
        </w:numPr>
        <w:spacing w:before="0" w:after="80" w:line="240" w:lineRule="auto"/>
        <w:ind w:left="284" w:hanging="256"/>
      </w:pPr>
      <w:r w:rsidRPr="005B0AB9">
        <w:t>Senior citizens.</w:t>
      </w:r>
    </w:p>
    <w:p w14:paraId="5AFB8E18" w14:textId="77777777" w:rsidR="002911CC" w:rsidRPr="005E22C9" w:rsidRDefault="002911CC" w:rsidP="002720F7">
      <w:pPr>
        <w:numPr>
          <w:ilvl w:val="0"/>
          <w:numId w:val="17"/>
        </w:numPr>
        <w:spacing w:before="0" w:after="80" w:line="240" w:lineRule="auto"/>
        <w:ind w:left="284" w:hanging="256"/>
      </w:pPr>
      <w:r>
        <w:t>LGBTI</w:t>
      </w:r>
    </w:p>
    <w:p w14:paraId="5AFB8E19" w14:textId="77777777" w:rsidR="002720F7" w:rsidRPr="00F3660B" w:rsidRDefault="00F3660B" w:rsidP="002720F7">
      <w:pPr>
        <w:pStyle w:val="Heading2"/>
        <w:rPr>
          <w:sz w:val="26"/>
        </w:rPr>
      </w:pPr>
      <w:r>
        <w:br w:type="page"/>
      </w:r>
      <w:r w:rsidR="002720F7" w:rsidRPr="00F3660B">
        <w:rPr>
          <w:sz w:val="26"/>
        </w:rPr>
        <w:lastRenderedPageBreak/>
        <w:t>Section 5 – Employment</w:t>
      </w:r>
    </w:p>
    <w:p w14:paraId="5AFB8E1A" w14:textId="77777777" w:rsidR="00F3660B" w:rsidRDefault="002720F7" w:rsidP="00F3660B">
      <w:pPr>
        <w:spacing w:before="240"/>
      </w:pPr>
      <w:r>
        <w:t>Include figures relating to the employment of artists, volunteers and others that resulted from the Creative Victoria funding.</w:t>
      </w:r>
    </w:p>
    <w:p w14:paraId="5AFB8E1B" w14:textId="77777777" w:rsidR="00AF1110" w:rsidRPr="005E22C9" w:rsidRDefault="004B0F9B" w:rsidP="002720F7">
      <w:r w:rsidRPr="00974AE2">
        <w:rPr>
          <w:noProof/>
          <w:bdr w:val="single" w:sz="12" w:space="0" w:color="A6A6A6"/>
          <w:lang w:eastAsia="en-AU"/>
        </w:rPr>
        <w:drawing>
          <wp:inline distT="0" distB="0" distL="0" distR="0" wp14:anchorId="5AFB8E62" wp14:editId="5AFB8E63">
            <wp:extent cx="5897880" cy="4343400"/>
            <wp:effectExtent l="19050" t="1905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343400"/>
                    </a:xfrm>
                    <a:prstGeom prst="rect">
                      <a:avLst/>
                    </a:prstGeom>
                    <a:noFill/>
                    <a:ln w="19050" cmpd="sng">
                      <a:solidFill>
                        <a:schemeClr val="bg1">
                          <a:lumMod val="65000"/>
                          <a:lumOff val="0"/>
                        </a:schemeClr>
                      </a:solidFill>
                      <a:miter lim="800000"/>
                      <a:headEnd/>
                      <a:tailEnd/>
                    </a:ln>
                    <a:effectLst/>
                  </pic:spPr>
                </pic:pic>
              </a:graphicData>
            </a:graphic>
          </wp:inline>
        </w:drawing>
      </w:r>
    </w:p>
    <w:p w14:paraId="5AFB8E1C" w14:textId="77777777" w:rsidR="002720F7" w:rsidRPr="00F3660B" w:rsidRDefault="002720F7" w:rsidP="00F3660B">
      <w:pPr>
        <w:pStyle w:val="Heading2"/>
        <w:spacing w:before="360"/>
        <w:rPr>
          <w:sz w:val="26"/>
        </w:rPr>
      </w:pPr>
      <w:r w:rsidRPr="00F3660B">
        <w:rPr>
          <w:sz w:val="26"/>
        </w:rPr>
        <w:t>Section 6 – Project Measures</w:t>
      </w:r>
    </w:p>
    <w:p w14:paraId="5AFB8E1D" w14:textId="77777777" w:rsidR="002720F7" w:rsidRDefault="002720F7" w:rsidP="002720F7">
      <w:r>
        <w:t>We collect this information to report on funding programs and their reach.  If a question is not relevant to you, enter zero.</w:t>
      </w:r>
    </w:p>
    <w:p w14:paraId="5AFB8E1E" w14:textId="77777777" w:rsidR="002720F7" w:rsidRDefault="002720F7" w:rsidP="002720F7">
      <w:pPr>
        <w:keepNext/>
        <w:keepLines/>
      </w:pPr>
      <w:r>
        <w:t>Measures include:</w:t>
      </w:r>
    </w:p>
    <w:p w14:paraId="5AFB8E1F" w14:textId="77777777" w:rsidR="002720F7" w:rsidRDefault="00F83617" w:rsidP="002720F7">
      <w:pPr>
        <w:numPr>
          <w:ilvl w:val="0"/>
          <w:numId w:val="17"/>
        </w:numPr>
        <w:spacing w:before="0" w:after="80" w:line="240" w:lineRule="auto"/>
        <w:ind w:left="284" w:hanging="256"/>
      </w:pPr>
      <w:r>
        <w:t>Live music gigs/events</w:t>
      </w:r>
    </w:p>
    <w:p w14:paraId="5AFB8E20" w14:textId="77777777" w:rsidR="002720F7" w:rsidRDefault="00F83617" w:rsidP="002720F7">
      <w:pPr>
        <w:numPr>
          <w:ilvl w:val="0"/>
          <w:numId w:val="17"/>
        </w:numPr>
        <w:spacing w:before="0" w:after="80" w:line="240" w:lineRule="auto"/>
        <w:ind w:left="284" w:hanging="256"/>
      </w:pPr>
      <w:r>
        <w:t>Musicians/artists involved</w:t>
      </w:r>
    </w:p>
    <w:p w14:paraId="5AFB8E21" w14:textId="77777777" w:rsidR="002720F7" w:rsidRDefault="00F83617" w:rsidP="002720F7">
      <w:pPr>
        <w:numPr>
          <w:ilvl w:val="0"/>
          <w:numId w:val="17"/>
        </w:numPr>
        <w:spacing w:before="0" w:after="80" w:line="240" w:lineRule="auto"/>
        <w:ind w:left="284" w:hanging="256"/>
      </w:pPr>
      <w:r>
        <w:t>Future live music gigs/events programming</w:t>
      </w:r>
    </w:p>
    <w:p w14:paraId="5AFB8E22" w14:textId="77777777" w:rsidR="00F83617" w:rsidRDefault="00F83617" w:rsidP="002720F7">
      <w:pPr>
        <w:numPr>
          <w:ilvl w:val="0"/>
          <w:numId w:val="17"/>
        </w:numPr>
        <w:spacing w:before="0" w:after="80" w:line="240" w:lineRule="auto"/>
        <w:ind w:left="284" w:hanging="256"/>
      </w:pPr>
      <w:r>
        <w:t xml:space="preserve">Non-creative workers </w:t>
      </w:r>
      <w:proofErr w:type="gramStart"/>
      <w:r>
        <w:t>involves</w:t>
      </w:r>
      <w:proofErr w:type="gramEnd"/>
    </w:p>
    <w:p w14:paraId="5AFB8E23" w14:textId="77777777" w:rsidR="00F83617" w:rsidRDefault="00F83617" w:rsidP="00F83617">
      <w:pPr>
        <w:spacing w:before="0" w:after="80" w:line="240" w:lineRule="auto"/>
        <w:ind w:left="284"/>
      </w:pPr>
    </w:p>
    <w:p w14:paraId="5AFB8E24" w14:textId="77777777" w:rsidR="002720F7" w:rsidRPr="00F83617" w:rsidRDefault="00F3660B" w:rsidP="00F83617">
      <w:pPr>
        <w:spacing w:before="0" w:after="80" w:line="240" w:lineRule="auto"/>
        <w:rPr>
          <w:b/>
          <w:bCs/>
          <w:sz w:val="26"/>
        </w:rPr>
      </w:pPr>
      <w:r>
        <w:br w:type="page"/>
      </w:r>
      <w:r w:rsidR="002720F7" w:rsidRPr="00F83617">
        <w:rPr>
          <w:b/>
          <w:bCs/>
          <w:sz w:val="26"/>
        </w:rPr>
        <w:lastRenderedPageBreak/>
        <w:t>Section 7 – Financial Reconciliation</w:t>
      </w:r>
    </w:p>
    <w:p w14:paraId="5AFB8E25" w14:textId="32AF7751" w:rsidR="002720F7" w:rsidRDefault="002720F7" w:rsidP="00F83617">
      <w:r>
        <w:t xml:space="preserve">You must complete the financial reconciliation section by </w:t>
      </w:r>
      <w:r w:rsidR="67091D89">
        <w:t xml:space="preserve">indicating how you utilised the funding and by providing a final budget detailing the actual expenditure of the grant. </w:t>
      </w:r>
      <w:r>
        <w:t xml:space="preserve"> </w:t>
      </w:r>
    </w:p>
    <w:p w14:paraId="5AFB8E26" w14:textId="77777777" w:rsidR="002720F7" w:rsidRPr="00566F20" w:rsidRDefault="002720F7" w:rsidP="002720F7">
      <w:pPr>
        <w:pStyle w:val="Heading3"/>
        <w:rPr>
          <w:i/>
          <w:color w:val="201547"/>
        </w:rPr>
      </w:pPr>
      <w:r w:rsidRPr="45603EE4">
        <w:rPr>
          <w:i/>
          <w:iCs/>
          <w:color w:val="201547"/>
        </w:rPr>
        <w:t>Financial reconciliation explained</w:t>
      </w:r>
    </w:p>
    <w:p w14:paraId="59DEE1D4" w14:textId="52A57A80" w:rsidR="7B13C4A7" w:rsidRDefault="7B13C4A7" w:rsidP="45603EE4">
      <w:r>
        <w:t>All recipients are required to submit a final budget covering the funded period and detailing how the funding amount was spent. You must i</w:t>
      </w:r>
      <w:r w:rsidR="6246B85B">
        <w:t xml:space="preserve">nclude your final budget as an attachment to fulfil this requirement. You can include both your final and application budgets in one document for comparative purposes if preferred. </w:t>
      </w:r>
    </w:p>
    <w:p w14:paraId="5AFB8E32" w14:textId="77777777" w:rsidR="002720F7" w:rsidRPr="00566F20" w:rsidRDefault="002720F7" w:rsidP="002720F7">
      <w:pPr>
        <w:pStyle w:val="Heading3"/>
        <w:rPr>
          <w:i/>
          <w:color w:val="201547"/>
        </w:rPr>
      </w:pPr>
      <w:r w:rsidRPr="00566F20">
        <w:rPr>
          <w:i/>
          <w:color w:val="201547"/>
        </w:rPr>
        <w:t>Independent audit condition</w:t>
      </w:r>
    </w:p>
    <w:p w14:paraId="5AFB8E33" w14:textId="4231BF65" w:rsidR="002720F7" w:rsidRDefault="75B59287" w:rsidP="002720F7">
      <w:pPr>
        <w:rPr>
          <w:rFonts w:eastAsia="Times"/>
        </w:rPr>
      </w:pPr>
      <w:r>
        <w:t>If your funding level is over a certain amount, y</w:t>
      </w:r>
      <w:r w:rsidR="00F83617">
        <w:t>ou</w:t>
      </w:r>
      <w:r w:rsidR="002720F7">
        <w:t xml:space="preserve"> must include an opinion or certification by an independent auditor to verify that your</w:t>
      </w:r>
      <w:r w:rsidR="002720F7" w:rsidRPr="45603EE4">
        <w:rPr>
          <w:rFonts w:eastAsia="Times"/>
        </w:rPr>
        <w:t xml:space="preserve"> financial reconciliation is a true and fair view of the income and expenditu</w:t>
      </w:r>
      <w:bookmarkStart w:id="1" w:name="OLE_LINK1"/>
      <w:bookmarkStart w:id="2" w:name="OLE_LINK2"/>
      <w:r w:rsidR="002720F7" w:rsidRPr="45603EE4">
        <w:rPr>
          <w:rFonts w:eastAsia="Times"/>
        </w:rPr>
        <w:t>re of the project.</w:t>
      </w:r>
    </w:p>
    <w:p w14:paraId="7D492C0A" w14:textId="5270C389" w:rsidR="093DA706" w:rsidRDefault="093DA706" w:rsidP="45603EE4">
      <w:pPr>
        <w:rPr>
          <w:rFonts w:eastAsia="Times"/>
        </w:rPr>
      </w:pPr>
      <w:r w:rsidRPr="45603EE4">
        <w:rPr>
          <w:rFonts w:eastAsia="Times"/>
        </w:rPr>
        <w:t xml:space="preserve">This requirement will be listed in the Deliverables Table in your Common Funding Agreement. </w:t>
      </w:r>
    </w:p>
    <w:p w14:paraId="5AFB8E34" w14:textId="77777777" w:rsidR="002720F7" w:rsidRPr="00974805" w:rsidRDefault="002720F7" w:rsidP="002720F7">
      <w:r>
        <w:rPr>
          <w:rFonts w:eastAsia="Times"/>
        </w:rPr>
        <w:t xml:space="preserve">You will need to either upload a scan of the opinion or certification </w:t>
      </w:r>
      <w:r>
        <w:rPr>
          <w:rFonts w:eastAsia="Times"/>
          <w:b/>
        </w:rPr>
        <w:t>signed</w:t>
      </w:r>
      <w:r w:rsidRPr="00361C34">
        <w:rPr>
          <w:rFonts w:eastAsia="Times"/>
          <w:b/>
        </w:rPr>
        <w:t xml:space="preserve"> by </w:t>
      </w:r>
      <w:r>
        <w:rPr>
          <w:rFonts w:eastAsia="Times"/>
          <w:b/>
        </w:rPr>
        <w:t>an independent</w:t>
      </w:r>
      <w:r w:rsidRPr="00361C34">
        <w:rPr>
          <w:rFonts w:eastAsia="Times"/>
          <w:b/>
        </w:rPr>
        <w:t xml:space="preserve"> auditor</w:t>
      </w:r>
      <w:r>
        <w:rPr>
          <w:rFonts w:eastAsia="Times"/>
        </w:rPr>
        <w:t xml:space="preserve"> with your Acquittal Report in the Acquittal.</w:t>
      </w:r>
      <w:bookmarkEnd w:id="1"/>
      <w:bookmarkEnd w:id="2"/>
      <w:r>
        <w:rPr>
          <w:rFonts w:eastAsia="Times"/>
        </w:rPr>
        <w:t xml:space="preserve"> </w:t>
      </w:r>
      <w:r w:rsidRPr="00E879DA">
        <w:rPr>
          <w:rFonts w:eastAsia="Times"/>
        </w:rPr>
        <w:t xml:space="preserve">An independent auditor is a member of the Institute of Chartered Accountants, CPA </w:t>
      </w:r>
      <w:proofErr w:type="gramStart"/>
      <w:r w:rsidRPr="00E879DA">
        <w:rPr>
          <w:rFonts w:eastAsia="Times"/>
        </w:rPr>
        <w:t>Australia</w:t>
      </w:r>
      <w:proofErr w:type="gramEnd"/>
      <w:r w:rsidRPr="00E879DA">
        <w:rPr>
          <w:rFonts w:eastAsia="Times"/>
        </w:rPr>
        <w:t xml:space="preserve"> or the National Institute of Accountants, who is not employed by or related to the funding recipient.</w:t>
      </w:r>
    </w:p>
    <w:p w14:paraId="5AFB8E35" w14:textId="77777777" w:rsidR="002720F7" w:rsidRPr="004F19E1" w:rsidRDefault="002720F7" w:rsidP="002720F7">
      <w:pPr>
        <w:pStyle w:val="Heading2"/>
        <w:rPr>
          <w:sz w:val="26"/>
        </w:rPr>
      </w:pPr>
      <w:r w:rsidRPr="004F19E1">
        <w:rPr>
          <w:sz w:val="26"/>
        </w:rPr>
        <w:t>Section 8 – Program Evaluation</w:t>
      </w:r>
    </w:p>
    <w:p w14:paraId="5AFB8E36" w14:textId="77777777" w:rsidR="002720F7" w:rsidRDefault="002720F7" w:rsidP="002720F7">
      <w:r>
        <w:t xml:space="preserve">The feedback about the funding program and processes </w:t>
      </w:r>
      <w:r w:rsidRPr="00FC1E47">
        <w:t>contributes to the continual impr</w:t>
      </w:r>
      <w:r>
        <w:t>ovement of program management.</w:t>
      </w:r>
    </w:p>
    <w:p w14:paraId="5AFB8E37" w14:textId="77777777" w:rsidR="002720F7" w:rsidRPr="005E22C9" w:rsidRDefault="002720F7" w:rsidP="002720F7">
      <w:r>
        <w:t>Please try to answer the question, but if you have no comments type 'N/A'.</w:t>
      </w:r>
    </w:p>
    <w:p w14:paraId="5AFB8E38" w14:textId="77777777" w:rsidR="002720F7" w:rsidRPr="004F19E1" w:rsidRDefault="002720F7" w:rsidP="004F19E1">
      <w:pPr>
        <w:pStyle w:val="Heading1"/>
        <w:spacing w:before="360" w:after="240" w:line="240" w:lineRule="auto"/>
      </w:pPr>
      <w:r w:rsidRPr="004F19E1">
        <w:t>Acquittal Documents and Supporting Material</w:t>
      </w:r>
    </w:p>
    <w:p w14:paraId="5AFB8E39" w14:textId="77777777" w:rsidR="002720F7" w:rsidRDefault="002720F7" w:rsidP="002720F7">
      <w:r w:rsidRPr="00FC1E47">
        <w:t xml:space="preserve">You may accompany your Acquittal Report with supporting material to: </w:t>
      </w:r>
    </w:p>
    <w:p w14:paraId="5AFB8E3A" w14:textId="77777777" w:rsidR="002720F7" w:rsidRDefault="002720F7" w:rsidP="002720F7">
      <w:pPr>
        <w:numPr>
          <w:ilvl w:val="0"/>
          <w:numId w:val="17"/>
        </w:numPr>
        <w:spacing w:before="0" w:after="80" w:line="240" w:lineRule="auto"/>
        <w:ind w:left="284" w:hanging="256"/>
      </w:pPr>
      <w:r w:rsidRPr="00FC1E47">
        <w:t>provide us with further details about the outcomes of your project</w:t>
      </w:r>
    </w:p>
    <w:p w14:paraId="5AFB8E3B" w14:textId="77777777" w:rsidR="002720F7" w:rsidRDefault="002720F7" w:rsidP="002720F7">
      <w:pPr>
        <w:numPr>
          <w:ilvl w:val="0"/>
          <w:numId w:val="17"/>
        </w:numPr>
        <w:spacing w:before="0" w:after="80" w:line="240" w:lineRule="auto"/>
        <w:ind w:left="284" w:hanging="256"/>
      </w:pPr>
      <w:r w:rsidRPr="00FC1E47">
        <w:t>illustrate the listing of your project that is published on our website</w:t>
      </w:r>
    </w:p>
    <w:p w14:paraId="5AFB8E3C" w14:textId="77777777" w:rsidR="002720F7" w:rsidRDefault="002720F7" w:rsidP="002720F7">
      <w:pPr>
        <w:numPr>
          <w:ilvl w:val="0"/>
          <w:numId w:val="17"/>
        </w:numPr>
        <w:spacing w:before="0" w:after="80" w:line="240" w:lineRule="auto"/>
        <w:ind w:left="284" w:hanging="256"/>
      </w:pPr>
      <w:r w:rsidRPr="00FC1E47">
        <w:t xml:space="preserve">have your project included in </w:t>
      </w:r>
      <w:r>
        <w:t xml:space="preserve">Creative </w:t>
      </w:r>
      <w:r w:rsidRPr="00FC1E47">
        <w:t>Victoria presentations and publications.</w:t>
      </w:r>
    </w:p>
    <w:p w14:paraId="5AFB8E3D" w14:textId="77777777" w:rsidR="002720F7" w:rsidRPr="00F83617" w:rsidRDefault="002720F7" w:rsidP="002720F7">
      <w:pPr>
        <w:spacing w:before="240" w:after="80"/>
        <w:rPr>
          <w:b/>
          <w:bCs/>
        </w:rPr>
      </w:pPr>
      <w:r w:rsidRPr="004F0CF1">
        <w:t>You can upload and submit up to ten files and/or ten URLs (external links) of relevant support material. Wherever possible, please use URLs and link to existing online material rather than uploading files.</w:t>
      </w:r>
      <w:r w:rsidR="00F83617">
        <w:t xml:space="preserve"> </w:t>
      </w:r>
      <w:r w:rsidR="00F83617">
        <w:rPr>
          <w:b/>
          <w:bCs/>
        </w:rPr>
        <w:t>A final budget and an opinion/certification by an independent auditor must be attached to your acquittal.</w:t>
      </w:r>
    </w:p>
    <w:p w14:paraId="5AFB8E3E" w14:textId="77777777" w:rsidR="002720F7" w:rsidRDefault="002720F7" w:rsidP="002720F7">
      <w:r>
        <w:t>Add brief n</w:t>
      </w:r>
      <w:r w:rsidRPr="00A27BED">
        <w:t>otes to explain the context of the file or URL.</w:t>
      </w:r>
      <w:r>
        <w:t xml:space="preserve"> If the URL is password protected, remember to provide the password here.</w:t>
      </w:r>
    </w:p>
    <w:p w14:paraId="5AFB8E3F" w14:textId="77777777" w:rsidR="002720F7" w:rsidRPr="004F19E1" w:rsidRDefault="002720F7" w:rsidP="004F19E1">
      <w:pPr>
        <w:pStyle w:val="Heading2"/>
        <w:spacing w:before="360"/>
        <w:rPr>
          <w:sz w:val="26"/>
        </w:rPr>
      </w:pPr>
      <w:r w:rsidRPr="004F19E1">
        <w:rPr>
          <w:sz w:val="26"/>
        </w:rPr>
        <w:lastRenderedPageBreak/>
        <w:t>Files/URLS</w:t>
      </w:r>
    </w:p>
    <w:p w14:paraId="5AFB8E40" w14:textId="77777777" w:rsidR="002720F7" w:rsidRPr="00566F20" w:rsidRDefault="002720F7" w:rsidP="002720F7">
      <w:pPr>
        <w:pStyle w:val="Heading4"/>
        <w:rPr>
          <w:i/>
        </w:rPr>
      </w:pPr>
      <w:r w:rsidRPr="00566F20">
        <w:rPr>
          <w:i/>
        </w:rPr>
        <w:t>Files</w:t>
      </w:r>
    </w:p>
    <w:p w14:paraId="5AFB8E41" w14:textId="77777777" w:rsidR="002720F7" w:rsidRDefault="002720F7" w:rsidP="002720F7">
      <w:r>
        <w:t>Any file you upload can be no more than 25MB in size.</w:t>
      </w:r>
    </w:p>
    <w:p w14:paraId="5AFB8E42" w14:textId="77777777" w:rsidR="002720F7" w:rsidRDefault="002720F7" w:rsidP="002720F7">
      <w:r>
        <w:t>The following programs and file extensions are accepted as attachments:</w:t>
      </w:r>
    </w:p>
    <w:p w14:paraId="5AFB8E43" w14:textId="77777777" w:rsidR="002720F7" w:rsidRPr="003A069A" w:rsidRDefault="002720F7" w:rsidP="002720F7">
      <w:pPr>
        <w:keepLines/>
        <w:tabs>
          <w:tab w:val="left" w:pos="1701"/>
        </w:tabs>
        <w:spacing w:after="20"/>
        <w:rPr>
          <w:b/>
          <w:sz w:val="20"/>
          <w:szCs w:val="20"/>
        </w:rPr>
      </w:pPr>
      <w:r w:rsidRPr="003A069A">
        <w:rPr>
          <w:sz w:val="20"/>
          <w:szCs w:val="20"/>
          <w:u w:val="single"/>
        </w:rPr>
        <w:t>File Type</w:t>
      </w:r>
      <w:r w:rsidRPr="003A069A">
        <w:rPr>
          <w:b/>
          <w:sz w:val="20"/>
          <w:szCs w:val="20"/>
        </w:rPr>
        <w:tab/>
      </w:r>
      <w:r w:rsidRPr="003A069A">
        <w:rPr>
          <w:sz w:val="20"/>
          <w:szCs w:val="20"/>
          <w:u w:val="single"/>
        </w:rPr>
        <w:t>File Extensions</w:t>
      </w:r>
    </w:p>
    <w:p w14:paraId="5AFB8E44" w14:textId="77777777" w:rsidR="002720F7" w:rsidRDefault="002720F7" w:rsidP="002720F7">
      <w:pPr>
        <w:keepLines/>
        <w:tabs>
          <w:tab w:val="left" w:pos="1701"/>
        </w:tabs>
        <w:spacing w:after="20"/>
        <w:rPr>
          <w:sz w:val="20"/>
          <w:szCs w:val="20"/>
        </w:rPr>
      </w:pPr>
      <w:r w:rsidRPr="003A069A">
        <w:rPr>
          <w:sz w:val="20"/>
          <w:szCs w:val="20"/>
        </w:rPr>
        <w:t>MS Word</w:t>
      </w:r>
      <w:r w:rsidRPr="003A069A">
        <w:rPr>
          <w:sz w:val="20"/>
          <w:szCs w:val="20"/>
        </w:rPr>
        <w:tab/>
        <w:t>.doc .docx</w:t>
      </w:r>
      <w:r w:rsidR="0000218B">
        <w:rPr>
          <w:sz w:val="20"/>
          <w:szCs w:val="20"/>
        </w:rPr>
        <w:br/>
      </w:r>
      <w:r w:rsidRPr="003A069A">
        <w:rPr>
          <w:sz w:val="20"/>
          <w:szCs w:val="20"/>
        </w:rPr>
        <w:t>MS Excel</w:t>
      </w:r>
      <w:r w:rsidRPr="003A069A">
        <w:rPr>
          <w:sz w:val="20"/>
          <w:szCs w:val="20"/>
        </w:rPr>
        <w:tab/>
        <w:t>.</w:t>
      </w:r>
      <w:proofErr w:type="spellStart"/>
      <w:r w:rsidRPr="003A069A">
        <w:rPr>
          <w:sz w:val="20"/>
          <w:szCs w:val="20"/>
        </w:rPr>
        <w:t>xls</w:t>
      </w:r>
      <w:proofErr w:type="spellEnd"/>
      <w:r w:rsidRPr="003A069A">
        <w:rPr>
          <w:sz w:val="20"/>
          <w:szCs w:val="20"/>
        </w:rPr>
        <w:t xml:space="preserve"> .xlsx</w:t>
      </w:r>
      <w:r w:rsidR="0000218B">
        <w:rPr>
          <w:sz w:val="20"/>
          <w:szCs w:val="20"/>
        </w:rPr>
        <w:br/>
      </w:r>
      <w:r w:rsidRPr="003A069A">
        <w:rPr>
          <w:sz w:val="20"/>
          <w:szCs w:val="20"/>
        </w:rPr>
        <w:t>MS PowerPoint</w:t>
      </w:r>
      <w:r w:rsidRPr="003A069A">
        <w:rPr>
          <w:sz w:val="20"/>
          <w:szCs w:val="20"/>
        </w:rPr>
        <w:tab/>
        <w:t>.ppt .pptx</w:t>
      </w:r>
      <w:r w:rsidR="0000218B">
        <w:rPr>
          <w:sz w:val="20"/>
          <w:szCs w:val="20"/>
        </w:rPr>
        <w:br/>
      </w:r>
      <w:r w:rsidRPr="003A069A">
        <w:rPr>
          <w:sz w:val="20"/>
          <w:szCs w:val="20"/>
        </w:rPr>
        <w:t>Adobe Acrobat</w:t>
      </w:r>
      <w:r w:rsidRPr="003A069A">
        <w:rPr>
          <w:sz w:val="20"/>
          <w:szCs w:val="20"/>
        </w:rPr>
        <w:tab/>
        <w:t>.pdf</w:t>
      </w:r>
      <w:r w:rsidR="0000218B">
        <w:rPr>
          <w:sz w:val="20"/>
          <w:szCs w:val="20"/>
        </w:rPr>
        <w:br/>
      </w:r>
      <w:r w:rsidRPr="003A069A">
        <w:rPr>
          <w:sz w:val="20"/>
          <w:szCs w:val="20"/>
        </w:rPr>
        <w:t>Image</w:t>
      </w:r>
      <w:r w:rsidRPr="003A069A">
        <w:rPr>
          <w:sz w:val="20"/>
          <w:szCs w:val="20"/>
        </w:rPr>
        <w:tab/>
        <w:t>.jpg .</w:t>
      </w:r>
      <w:proofErr w:type="spellStart"/>
      <w:r w:rsidRPr="003A069A">
        <w:rPr>
          <w:sz w:val="20"/>
          <w:szCs w:val="20"/>
        </w:rPr>
        <w:t>png</w:t>
      </w:r>
      <w:proofErr w:type="spellEnd"/>
      <w:r w:rsidRPr="003A069A">
        <w:rPr>
          <w:sz w:val="20"/>
          <w:szCs w:val="20"/>
        </w:rPr>
        <w:t xml:space="preserve"> .tiff</w:t>
      </w:r>
      <w:r w:rsidR="0000218B">
        <w:rPr>
          <w:sz w:val="20"/>
          <w:szCs w:val="20"/>
        </w:rPr>
        <w:br/>
      </w:r>
      <w:r w:rsidRPr="003A069A">
        <w:rPr>
          <w:sz w:val="20"/>
          <w:szCs w:val="20"/>
        </w:rPr>
        <w:t>Audio</w:t>
      </w:r>
      <w:r w:rsidRPr="003A069A">
        <w:rPr>
          <w:sz w:val="20"/>
          <w:szCs w:val="20"/>
        </w:rPr>
        <w:tab/>
        <w:t>.mp3 .</w:t>
      </w:r>
      <w:proofErr w:type="spellStart"/>
      <w:r w:rsidRPr="003A069A">
        <w:rPr>
          <w:sz w:val="20"/>
          <w:szCs w:val="20"/>
        </w:rPr>
        <w:t>wma</w:t>
      </w:r>
      <w:proofErr w:type="spellEnd"/>
      <w:r w:rsidR="0000218B">
        <w:rPr>
          <w:sz w:val="20"/>
          <w:szCs w:val="20"/>
        </w:rPr>
        <w:br/>
      </w:r>
      <w:r w:rsidRPr="003A069A">
        <w:rPr>
          <w:sz w:val="20"/>
          <w:szCs w:val="20"/>
        </w:rPr>
        <w:t>Video</w:t>
      </w:r>
      <w:r w:rsidRPr="003A069A">
        <w:rPr>
          <w:sz w:val="20"/>
          <w:szCs w:val="20"/>
        </w:rPr>
        <w:tab/>
        <w:t>.mp4 .</w:t>
      </w:r>
      <w:proofErr w:type="spellStart"/>
      <w:r w:rsidRPr="003A069A">
        <w:rPr>
          <w:sz w:val="20"/>
          <w:szCs w:val="20"/>
        </w:rPr>
        <w:t>wma</w:t>
      </w:r>
      <w:proofErr w:type="spellEnd"/>
      <w:r w:rsidRPr="003A069A">
        <w:rPr>
          <w:sz w:val="20"/>
          <w:szCs w:val="20"/>
        </w:rPr>
        <w:t xml:space="preserve"> .</w:t>
      </w:r>
      <w:proofErr w:type="spellStart"/>
      <w:r w:rsidRPr="003A069A">
        <w:rPr>
          <w:sz w:val="20"/>
          <w:szCs w:val="20"/>
        </w:rPr>
        <w:t>avi</w:t>
      </w:r>
      <w:proofErr w:type="spellEnd"/>
      <w:r w:rsidRPr="003A069A">
        <w:rPr>
          <w:sz w:val="20"/>
          <w:szCs w:val="20"/>
        </w:rPr>
        <w:t xml:space="preserve"> .mov</w:t>
      </w:r>
    </w:p>
    <w:p w14:paraId="5AFB8E45" w14:textId="77777777" w:rsidR="002720F7" w:rsidRPr="00566F20" w:rsidRDefault="002720F7" w:rsidP="002720F7">
      <w:pPr>
        <w:pStyle w:val="Heading4"/>
        <w:spacing w:before="240"/>
        <w:rPr>
          <w:i/>
        </w:rPr>
      </w:pPr>
      <w:r w:rsidRPr="00566F20">
        <w:rPr>
          <w:i/>
        </w:rPr>
        <w:t>URLs</w:t>
      </w:r>
    </w:p>
    <w:p w14:paraId="5AFB8E46" w14:textId="77777777" w:rsidR="002720F7" w:rsidRDefault="002720F7" w:rsidP="002720F7">
      <w:r>
        <w:t>Enter the URL in the field provided.  You can copy and paste a URL or type directly into the field.  You can include the "http://" at the start of the URL but it is not required.</w:t>
      </w:r>
    </w:p>
    <w:p w14:paraId="5AFB8E47" w14:textId="77777777" w:rsidR="002720F7" w:rsidRDefault="002720F7" w:rsidP="002720F7">
      <w:r w:rsidRPr="0003199D">
        <w:t xml:space="preserve">If URLs are not </w:t>
      </w:r>
      <w:proofErr w:type="spellStart"/>
      <w:r w:rsidRPr="0003199D">
        <w:t>publically</w:t>
      </w:r>
      <w:proofErr w:type="spellEnd"/>
      <w:r w:rsidRPr="0003199D">
        <w:t xml:space="preserve"> </w:t>
      </w:r>
      <w:proofErr w:type="gramStart"/>
      <w:r w:rsidRPr="0003199D">
        <w:t>available</w:t>
      </w:r>
      <w:proofErr w:type="gramEnd"/>
      <w:r w:rsidRPr="0003199D">
        <w:t xml:space="preserve"> please include login/password details.</w:t>
      </w:r>
    </w:p>
    <w:p w14:paraId="5AFB8E48" w14:textId="77777777" w:rsidR="002720F7" w:rsidRPr="004F19E1" w:rsidRDefault="002720F7" w:rsidP="004F19E1">
      <w:pPr>
        <w:pStyle w:val="Heading2"/>
        <w:rPr>
          <w:sz w:val="26"/>
        </w:rPr>
      </w:pPr>
      <w:r w:rsidRPr="004F19E1">
        <w:rPr>
          <w:sz w:val="26"/>
        </w:rPr>
        <w:t>Types of supporting material</w:t>
      </w:r>
    </w:p>
    <w:p w14:paraId="5AFB8E49" w14:textId="77777777" w:rsidR="002720F7" w:rsidRPr="00566F20" w:rsidRDefault="002720F7" w:rsidP="002720F7">
      <w:pPr>
        <w:pStyle w:val="Heading4"/>
        <w:rPr>
          <w:i/>
        </w:rPr>
      </w:pPr>
      <w:r w:rsidRPr="00566F20">
        <w:rPr>
          <w:i/>
        </w:rPr>
        <w:t>Images</w:t>
      </w:r>
    </w:p>
    <w:p w14:paraId="5AFB8E4A" w14:textId="77777777" w:rsidR="002720F7" w:rsidRDefault="002720F7" w:rsidP="002720F7">
      <w:r>
        <w:t xml:space="preserve">Creative Victoria is always seeking dynamic images of arts activities, </w:t>
      </w:r>
      <w:proofErr w:type="gramStart"/>
      <w:r>
        <w:t>projects</w:t>
      </w:r>
      <w:proofErr w:type="gramEnd"/>
      <w:r>
        <w:t xml:space="preserve"> and events to enliven our website, promote funded activities and to accompany media releases, presentations and publications. </w:t>
      </w:r>
    </w:p>
    <w:p w14:paraId="5AFB8E4D" w14:textId="2BC6472A" w:rsidR="00BC2DA8" w:rsidRPr="00BC2DA8" w:rsidRDefault="002720F7" w:rsidP="002720F7">
      <w:pPr>
        <w:keepNext/>
        <w:pBdr>
          <w:top w:val="single" w:sz="4" w:space="1" w:color="auto"/>
          <w:left w:val="single" w:sz="4" w:space="1" w:color="auto"/>
          <w:bottom w:val="single" w:sz="4" w:space="1" w:color="auto"/>
          <w:right w:val="single" w:sz="4" w:space="1" w:color="auto"/>
        </w:pBdr>
      </w:pPr>
      <w:r>
        <w:t>The ideal image resolution is 300 dpi (print quality), with a size of 500kb-1000kb (1MB) per picture.  Images should be in JPEG or PNG format.  If the ideal resolution can’t be met, JPEG files at lower resolutions are acceptable.</w:t>
      </w:r>
    </w:p>
    <w:p w14:paraId="5AFB8E4E" w14:textId="77777777" w:rsidR="002720F7" w:rsidRPr="00BC2DA8" w:rsidRDefault="002720F7" w:rsidP="002720F7">
      <w:pPr>
        <w:keepNext/>
        <w:pBdr>
          <w:top w:val="single" w:sz="4" w:space="1" w:color="auto"/>
          <w:left w:val="single" w:sz="4" w:space="1" w:color="auto"/>
          <w:bottom w:val="single" w:sz="4" w:space="1" w:color="auto"/>
          <w:right w:val="single" w:sz="4" w:space="1" w:color="auto"/>
        </w:pBdr>
        <w:rPr>
          <w:b/>
          <w:i/>
        </w:rPr>
      </w:pPr>
      <w:r w:rsidRPr="00BC2DA8">
        <w:rPr>
          <w:b/>
          <w:i/>
        </w:rPr>
        <w:t xml:space="preserve">Creative Victoria website, </w:t>
      </w:r>
      <w:proofErr w:type="gramStart"/>
      <w:r w:rsidRPr="00BC2DA8">
        <w:rPr>
          <w:b/>
          <w:i/>
        </w:rPr>
        <w:t>publications</w:t>
      </w:r>
      <w:proofErr w:type="gramEnd"/>
      <w:r w:rsidRPr="00BC2DA8">
        <w:rPr>
          <w:b/>
          <w:i/>
        </w:rPr>
        <w:t xml:space="preserve"> and presentations – Image rights</w:t>
      </w:r>
    </w:p>
    <w:p w14:paraId="5AFB8E4F" w14:textId="77777777" w:rsidR="002720F7" w:rsidRDefault="002720F7" w:rsidP="002720F7">
      <w:pPr>
        <w:keepNext/>
        <w:pBdr>
          <w:top w:val="single" w:sz="4" w:space="1" w:color="auto"/>
          <w:left w:val="single" w:sz="4" w:space="1" w:color="auto"/>
          <w:bottom w:val="single" w:sz="4" w:space="1" w:color="auto"/>
          <w:right w:val="single" w:sz="4" w:space="1" w:color="auto"/>
        </w:pBdr>
      </w:pPr>
      <w:r>
        <w:t xml:space="preserve">If you would like to allow Creative Victoria to publish your images you need to provide us with relevant captions and photographer credits in the Title and Notes fields of the File Details of your </w:t>
      </w:r>
      <w:proofErr w:type="gramStart"/>
      <w:r>
        <w:t>upload, or</w:t>
      </w:r>
      <w:proofErr w:type="gramEnd"/>
      <w:r>
        <w:t xml:space="preserve"> submitted separate upload.</w:t>
      </w:r>
    </w:p>
    <w:p w14:paraId="5AFB8E50" w14:textId="77777777" w:rsidR="002720F7" w:rsidRDefault="002720F7" w:rsidP="002720F7">
      <w:pPr>
        <w:pBdr>
          <w:top w:val="single" w:sz="4" w:space="1" w:color="auto"/>
          <w:left w:val="single" w:sz="4" w:space="1" w:color="auto"/>
          <w:bottom w:val="single" w:sz="4" w:space="1" w:color="auto"/>
          <w:right w:val="single" w:sz="4" w:space="1" w:color="auto"/>
        </w:pBdr>
      </w:pPr>
      <w:r>
        <w:t xml:space="preserve">By submitting images for </w:t>
      </w:r>
      <w:proofErr w:type="gramStart"/>
      <w:r>
        <w:t>publication</w:t>
      </w:r>
      <w:proofErr w:type="gramEnd"/>
      <w:r>
        <w:t xml:space="preserve"> you confirm that, per the Intellectual Property clause in your funding agreement, you have the rights that allow us to publish them.</w:t>
      </w:r>
    </w:p>
    <w:p w14:paraId="5AFB8E52" w14:textId="77777777" w:rsidR="002720F7" w:rsidRPr="00566F20" w:rsidRDefault="002720F7" w:rsidP="00566F20">
      <w:pPr>
        <w:pStyle w:val="Heading4"/>
        <w:spacing w:after="120"/>
        <w:rPr>
          <w:i/>
        </w:rPr>
      </w:pPr>
      <w:r w:rsidRPr="00566F20">
        <w:rPr>
          <w:i/>
        </w:rPr>
        <w:t>Music</w:t>
      </w:r>
    </w:p>
    <w:p w14:paraId="5AFB8E53" w14:textId="77777777" w:rsidR="002720F7" w:rsidRDefault="002720F7" w:rsidP="00566F20">
      <w:r>
        <w:t>Digital audio files should be in MP3 or WMA, compressed to a minimum of 192 kbps.</w:t>
      </w:r>
    </w:p>
    <w:p w14:paraId="5AFB8E54" w14:textId="77777777" w:rsidR="002720F7" w:rsidRPr="00566F20" w:rsidRDefault="002720F7" w:rsidP="00566F20">
      <w:pPr>
        <w:pStyle w:val="Heading4"/>
        <w:spacing w:after="120"/>
        <w:rPr>
          <w:i/>
        </w:rPr>
      </w:pPr>
      <w:r w:rsidRPr="00566F20">
        <w:rPr>
          <w:i/>
        </w:rPr>
        <w:t>Video</w:t>
      </w:r>
    </w:p>
    <w:p w14:paraId="5AFB8E55" w14:textId="77777777" w:rsidR="002720F7" w:rsidRDefault="002720F7" w:rsidP="002720F7">
      <w:r w:rsidRPr="00232B7E">
        <w:t xml:space="preserve">Videos can be of multimedia presentations, live performances, </w:t>
      </w:r>
      <w:proofErr w:type="gramStart"/>
      <w:r w:rsidRPr="00232B7E">
        <w:t>rehearsals</w:t>
      </w:r>
      <w:proofErr w:type="gramEnd"/>
      <w:r w:rsidRPr="00232B7E">
        <w:t xml:space="preserve"> or any other activities related to your project.</w:t>
      </w:r>
    </w:p>
    <w:p w14:paraId="5AFB8E56" w14:textId="77777777" w:rsidR="002720F7" w:rsidRDefault="002720F7" w:rsidP="002720F7">
      <w:r>
        <w:lastRenderedPageBreak/>
        <w:t>Due to 25MB per file limit, it is preferable that you submit URL links to existing video footage rather than uploading individual video files.</w:t>
      </w:r>
    </w:p>
    <w:p w14:paraId="5AFB8E57" w14:textId="77777777" w:rsidR="002720F7" w:rsidRPr="00CA58B7" w:rsidRDefault="002720F7" w:rsidP="00F51FD0">
      <w:pPr>
        <w:pStyle w:val="Heading1"/>
        <w:spacing w:before="360" w:after="240" w:line="240" w:lineRule="auto"/>
      </w:pPr>
      <w:bookmarkStart w:id="3" w:name="_Toc365475394"/>
      <w:r w:rsidRPr="00CA58B7">
        <w:t xml:space="preserve">Submitting </w:t>
      </w:r>
      <w:r>
        <w:t>y</w:t>
      </w:r>
      <w:r w:rsidRPr="00CA58B7">
        <w:t xml:space="preserve">our </w:t>
      </w:r>
      <w:bookmarkEnd w:id="3"/>
      <w:r>
        <w:t>acquittal</w:t>
      </w:r>
    </w:p>
    <w:p w14:paraId="5AFB8E58" w14:textId="77777777" w:rsidR="002720F7" w:rsidRDefault="002720F7" w:rsidP="002720F7">
      <w:r w:rsidRPr="002E04B0">
        <w:rPr>
          <w:b/>
          <w:i/>
        </w:rPr>
        <w:t xml:space="preserve">Click on the </w:t>
      </w:r>
      <w:r>
        <w:rPr>
          <w:b/>
          <w:i/>
        </w:rPr>
        <w:t xml:space="preserve">Check Acquittal </w:t>
      </w:r>
      <w:r w:rsidRPr="002E04B0">
        <w:rPr>
          <w:b/>
          <w:i/>
        </w:rPr>
        <w:t>button</w:t>
      </w:r>
      <w:r w:rsidRPr="002E04B0">
        <w:rPr>
          <w:b/>
        </w:rPr>
        <w:t xml:space="preserve"> to make sure you have answered all the mandatory questions.</w:t>
      </w:r>
      <w:r>
        <w:t xml:space="preserve">  If there are any issues a red message will appear at the top of the page.</w:t>
      </w:r>
    </w:p>
    <w:p w14:paraId="5AFB8E59" w14:textId="3E71FCD8" w:rsidR="002720F7" w:rsidRDefault="002720F7" w:rsidP="002720F7">
      <w:r w:rsidRPr="002E04B0">
        <w:t xml:space="preserve">Once all questions have been answered, you can </w:t>
      </w:r>
      <w:r w:rsidRPr="00E879DA">
        <w:t>click on the</w:t>
      </w:r>
      <w:r w:rsidRPr="002E04B0">
        <w:rPr>
          <w:i/>
        </w:rPr>
        <w:t xml:space="preserve"> </w:t>
      </w:r>
      <w:r w:rsidRPr="00E879DA">
        <w:t>Submit Acquittal</w:t>
      </w:r>
      <w:r>
        <w:rPr>
          <w:i/>
        </w:rPr>
        <w:t xml:space="preserve"> </w:t>
      </w:r>
      <w:r w:rsidRPr="00E879DA">
        <w:t>button</w:t>
      </w:r>
      <w:r w:rsidRPr="002E04B0">
        <w:t>.  A</w:t>
      </w:r>
      <w:r>
        <w:t xml:space="preserve"> pop-up w</w:t>
      </w:r>
      <w:r w:rsidR="00BE2364">
        <w:t>ill ask you for confirmation.</w:t>
      </w:r>
      <w:r w:rsidR="00CE4DEC">
        <w:t xml:space="preserve"> </w:t>
      </w:r>
      <w:r>
        <w:t>You will not be able to make changes to your acquittal once you submit.</w:t>
      </w:r>
    </w:p>
    <w:p w14:paraId="792B54C6" w14:textId="31A4CE25" w:rsidR="008239C2" w:rsidRDefault="00D65984" w:rsidP="006B0520">
      <w:pPr>
        <w:pStyle w:val="Heading1"/>
        <w:spacing w:before="360" w:after="240" w:line="240" w:lineRule="auto"/>
      </w:pPr>
      <w:r>
        <w:t xml:space="preserve">Frequently Asked </w:t>
      </w:r>
      <w:r w:rsidR="002720F7">
        <w:t>Questions</w:t>
      </w:r>
    </w:p>
    <w:p w14:paraId="63D2B1D5" w14:textId="75FE843A" w:rsidR="008239C2" w:rsidRDefault="00156E81" w:rsidP="45603EE4">
      <w:pPr>
        <w:rPr>
          <w:b/>
          <w:bCs/>
        </w:rPr>
      </w:pPr>
      <w:r w:rsidRPr="45603EE4">
        <w:rPr>
          <w:b/>
          <w:bCs/>
        </w:rPr>
        <w:t>What do I do about expenditure that wasn’t on the original budget?</w:t>
      </w:r>
    </w:p>
    <w:p w14:paraId="06B12246" w14:textId="5A69147D" w:rsidR="645A0FE7" w:rsidRDefault="645A0FE7" w:rsidP="45603EE4">
      <w:r w:rsidRPr="45603EE4">
        <w:t xml:space="preserve">Changes to the allocation of funding are ok, so long as the funding is still only spent on eligible costs as outlined in the program’s Guidelines. </w:t>
      </w:r>
      <w:r w:rsidR="522EB0FF" w:rsidRPr="45603EE4">
        <w:t xml:space="preserve">You can make a note of any major changes to the actual expenditure of the grant in the final budget you submit with your acquittal.  </w:t>
      </w:r>
    </w:p>
    <w:p w14:paraId="5EAA947E" w14:textId="7C65C3BF" w:rsidR="0005527B" w:rsidRDefault="0005527B" w:rsidP="45603EE4">
      <w:pPr>
        <w:rPr>
          <w:b/>
          <w:bCs/>
        </w:rPr>
      </w:pPr>
      <w:r w:rsidRPr="45603EE4">
        <w:rPr>
          <w:b/>
          <w:bCs/>
        </w:rPr>
        <w:t xml:space="preserve">What is the financial verification / independent audit, and </w:t>
      </w:r>
      <w:r w:rsidR="2BC1DDDA" w:rsidRPr="45603EE4">
        <w:rPr>
          <w:b/>
          <w:bCs/>
        </w:rPr>
        <w:t xml:space="preserve">when </w:t>
      </w:r>
      <w:r w:rsidRPr="45603EE4">
        <w:rPr>
          <w:b/>
          <w:bCs/>
        </w:rPr>
        <w:t>is</w:t>
      </w:r>
      <w:r w:rsidR="6DB5321E" w:rsidRPr="45603EE4">
        <w:rPr>
          <w:b/>
          <w:bCs/>
        </w:rPr>
        <w:t xml:space="preserve"> it</w:t>
      </w:r>
      <w:r w:rsidRPr="45603EE4">
        <w:rPr>
          <w:b/>
          <w:bCs/>
        </w:rPr>
        <w:t xml:space="preserve"> required?</w:t>
      </w:r>
    </w:p>
    <w:p w14:paraId="44A83E72" w14:textId="1A6AF9C7" w:rsidR="00CE4DEC" w:rsidRDefault="2B3DABB8" w:rsidP="45603EE4">
      <w:r w:rsidRPr="45603EE4">
        <w:t xml:space="preserve">An independent audit is a certification provided by an independent auditor that verifies that the final budget you provide for the grant expenditure is a true and fair view of the income and expenditure of the project. </w:t>
      </w:r>
    </w:p>
    <w:p w14:paraId="348B56DD" w14:textId="7BBC54F5" w:rsidR="00CE4DEC" w:rsidRDefault="31A4421C" w:rsidP="45603EE4">
      <w:r w:rsidRPr="45603EE4">
        <w:t>It is required for all grants over $40,000.</w:t>
      </w:r>
      <w:r w:rsidR="03656544" w:rsidRPr="45603EE4">
        <w:t xml:space="preserve"> Please check your Common Funding Agreement to see if you are required to provide an audit report.</w:t>
      </w:r>
    </w:p>
    <w:p w14:paraId="60C03AA2" w14:textId="106BFCD5" w:rsidR="00CE4DEC" w:rsidRDefault="002B1DBC" w:rsidP="45603EE4">
      <w:pPr>
        <w:rPr>
          <w:b/>
          <w:bCs/>
        </w:rPr>
      </w:pPr>
      <w:r w:rsidRPr="45603EE4">
        <w:rPr>
          <w:b/>
          <w:bCs/>
        </w:rPr>
        <w:t>How do I get an auditor?</w:t>
      </w:r>
    </w:p>
    <w:p w14:paraId="49348C08" w14:textId="7D15E136" w:rsidR="0005527B" w:rsidRDefault="28117D13" w:rsidP="002720F7">
      <w:r w:rsidRPr="45603EE4">
        <w:rPr>
          <w:rFonts w:eastAsia="Times"/>
        </w:rPr>
        <w:t xml:space="preserve"> An independent auditor is a member of the Institute of Chartered Accountants, CPA </w:t>
      </w:r>
      <w:proofErr w:type="gramStart"/>
      <w:r w:rsidRPr="45603EE4">
        <w:rPr>
          <w:rFonts w:eastAsia="Times"/>
        </w:rPr>
        <w:t>Australia</w:t>
      </w:r>
      <w:proofErr w:type="gramEnd"/>
      <w:r w:rsidRPr="45603EE4">
        <w:rPr>
          <w:rFonts w:eastAsia="Times"/>
        </w:rPr>
        <w:t xml:space="preserve"> or the National Institute of Accountants, who is not employed by or related to the funding recipient. You will need to source your own auditor</w:t>
      </w:r>
      <w:r w:rsidR="3702743C" w:rsidRPr="45603EE4">
        <w:rPr>
          <w:rFonts w:eastAsia="Times"/>
        </w:rPr>
        <w:t>.</w:t>
      </w:r>
    </w:p>
    <w:p w14:paraId="50B8AD0B" w14:textId="0DFFFA17" w:rsidR="0005527B" w:rsidRDefault="3702743C" w:rsidP="45603EE4">
      <w:pPr>
        <w:rPr>
          <w:b/>
          <w:bCs/>
        </w:rPr>
      </w:pPr>
      <w:r w:rsidRPr="45603EE4">
        <w:rPr>
          <w:b/>
          <w:bCs/>
        </w:rPr>
        <w:t xml:space="preserve">Do I need to acquit the amount </w:t>
      </w:r>
      <w:r w:rsidR="680A70AE" w:rsidRPr="45603EE4">
        <w:rPr>
          <w:b/>
          <w:bCs/>
        </w:rPr>
        <w:t>received</w:t>
      </w:r>
      <w:r w:rsidRPr="45603EE4">
        <w:rPr>
          <w:b/>
          <w:bCs/>
        </w:rPr>
        <w:t xml:space="preserve">, or the amount </w:t>
      </w:r>
      <w:proofErr w:type="spellStart"/>
      <w:r w:rsidR="64DFE806" w:rsidRPr="45603EE4">
        <w:rPr>
          <w:b/>
          <w:bCs/>
        </w:rPr>
        <w:t>received</w:t>
      </w:r>
      <w:r w:rsidRPr="45603EE4">
        <w:rPr>
          <w:b/>
          <w:bCs/>
        </w:rPr>
        <w:t>+GST</w:t>
      </w:r>
      <w:proofErr w:type="spellEnd"/>
      <w:r w:rsidRPr="45603EE4">
        <w:rPr>
          <w:b/>
          <w:bCs/>
        </w:rPr>
        <w:t>?</w:t>
      </w:r>
    </w:p>
    <w:p w14:paraId="0BA449F7" w14:textId="74C4D8C5" w:rsidR="0005527B" w:rsidRDefault="4F86306E" w:rsidP="45603EE4">
      <w:r w:rsidRPr="45603EE4">
        <w:t xml:space="preserve">You should only acquit based on </w:t>
      </w:r>
      <w:r w:rsidR="2AD2C543" w:rsidRPr="45603EE4">
        <w:t>grant amount</w:t>
      </w:r>
      <w:r w:rsidR="7C7F0996" w:rsidRPr="45603EE4">
        <w:t xml:space="preserve"> you received, not on the GST included with your payment. </w:t>
      </w:r>
    </w:p>
    <w:p w14:paraId="04981239" w14:textId="5CD3DA7F" w:rsidR="0005527B" w:rsidRDefault="4EEB0730" w:rsidP="45603EE4">
      <w:pPr>
        <w:rPr>
          <w:b/>
          <w:bCs/>
        </w:rPr>
      </w:pPr>
      <w:r w:rsidRPr="45603EE4">
        <w:rPr>
          <w:b/>
          <w:bCs/>
        </w:rPr>
        <w:t xml:space="preserve">I’ve forgotten my log in password for the Grants Portal – what should I do? </w:t>
      </w:r>
    </w:p>
    <w:p w14:paraId="70F1C87B" w14:textId="37FA8718" w:rsidR="0005527B" w:rsidRDefault="4EEB0730" w:rsidP="45603EE4">
      <w:r w:rsidRPr="45603EE4">
        <w:t xml:space="preserve">You are able to reset your password </w:t>
      </w:r>
      <w:hyperlink r:id="rId16">
        <w:r w:rsidRPr="45603EE4">
          <w:rPr>
            <w:rStyle w:val="Hyperlink"/>
          </w:rPr>
          <w:t>here</w:t>
        </w:r>
      </w:hyperlink>
      <w:r w:rsidRPr="45603EE4">
        <w:t>. Make sure you are using</w:t>
      </w:r>
      <w:r w:rsidR="7AE05B57" w:rsidRPr="45603EE4">
        <w:t xml:space="preserve"> the email you used to apply for the grant. If you are still having difficulty, please contact your Creative Victoria Program Officer. </w:t>
      </w:r>
      <w:r w:rsidRPr="45603EE4">
        <w:t xml:space="preserve"> </w:t>
      </w:r>
    </w:p>
    <w:p w14:paraId="6B528D15" w14:textId="2E3B291D" w:rsidR="0005527B" w:rsidRDefault="15686293" w:rsidP="45603EE4">
      <w:pPr>
        <w:rPr>
          <w:b/>
          <w:bCs/>
        </w:rPr>
      </w:pPr>
      <w:r w:rsidRPr="45603EE4">
        <w:rPr>
          <w:b/>
          <w:bCs/>
        </w:rPr>
        <w:t>I don’t think I can complete my acquittal on time – can I get an extension?</w:t>
      </w:r>
    </w:p>
    <w:p w14:paraId="0AA0ABD3" w14:textId="41C6A7D8" w:rsidR="0005527B" w:rsidRDefault="15686293" w:rsidP="45603EE4">
      <w:r w:rsidRPr="45603EE4">
        <w:t xml:space="preserve">If you are having trouble completing your acquittal or do not think you can submit by the due date, please request an extension in writing by emailing your Creative Victoria Program Officer. </w:t>
      </w:r>
    </w:p>
    <w:p w14:paraId="520E7D18" w14:textId="60D95344" w:rsidR="0005527B" w:rsidRDefault="0005527B" w:rsidP="45603EE4"/>
    <w:p w14:paraId="5AFB8E5B" w14:textId="4B3B07F7" w:rsidR="00F325D2" w:rsidRPr="00F51FD0" w:rsidRDefault="002720F7" w:rsidP="002720F7">
      <w:r>
        <w:t xml:space="preserve">If you need help completing your acquittal, contact your Creative Victoria </w:t>
      </w:r>
      <w:r w:rsidR="00BE2364">
        <w:t xml:space="preserve">Program </w:t>
      </w:r>
      <w:r w:rsidR="39854089">
        <w:t>O</w:t>
      </w:r>
      <w:r>
        <w:t>fficer</w:t>
      </w:r>
      <w:r w:rsidR="00BE2364">
        <w:t xml:space="preserve"> or </w:t>
      </w:r>
      <w:r>
        <w:t>contact Creative Victoria reception on 03 8683 3100.</w:t>
      </w:r>
    </w:p>
    <w:sectPr w:rsidR="00F325D2" w:rsidRPr="00F51FD0" w:rsidSect="002720F7">
      <w:headerReference w:type="default" r:id="rId17"/>
      <w:footerReference w:type="default" r:id="rId18"/>
      <w:pgSz w:w="11906" w:h="16838"/>
      <w:pgMar w:top="1304" w:right="1134" w:bottom="1418" w:left="1440" w:header="709" w:footer="87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2FE9" w14:textId="77777777" w:rsidR="00E02008" w:rsidRDefault="00E02008" w:rsidP="000566E1">
      <w:r>
        <w:separator/>
      </w:r>
    </w:p>
  </w:endnote>
  <w:endnote w:type="continuationSeparator" w:id="0">
    <w:p w14:paraId="26DBA4F4" w14:textId="77777777" w:rsidR="00E02008" w:rsidRDefault="00E02008" w:rsidP="0005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VIC Medium">
    <w:altName w:val="Arial"/>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8E6B" w14:textId="77777777" w:rsidR="00AC0D6A" w:rsidRPr="00AC0D6A" w:rsidRDefault="00AC0D6A" w:rsidP="00AC0D6A">
    <w:pPr>
      <w:pStyle w:val="Footer"/>
      <w:framePr w:wrap="around"/>
      <w:rPr>
        <w:rFonts w:ascii="Arial" w:hAnsi="Arial" w:cs="Arial"/>
        <w:sz w:val="16"/>
        <w:szCs w:val="16"/>
      </w:rPr>
    </w:pPr>
    <w:r w:rsidRPr="00AC0D6A">
      <w:rPr>
        <w:rFonts w:ascii="Arial" w:hAnsi="Arial" w:cs="Arial"/>
        <w:sz w:val="16"/>
        <w:szCs w:val="16"/>
      </w:rPr>
      <w:fldChar w:fldCharType="begin"/>
    </w:r>
    <w:r w:rsidRPr="00AC0D6A">
      <w:rPr>
        <w:rFonts w:ascii="Arial" w:hAnsi="Arial" w:cs="Arial"/>
        <w:sz w:val="16"/>
        <w:szCs w:val="16"/>
      </w:rPr>
      <w:instrText xml:space="preserve"> PAGE   \* MERGEFORMAT </w:instrText>
    </w:r>
    <w:r w:rsidRPr="00AC0D6A">
      <w:rPr>
        <w:rFonts w:ascii="Arial" w:hAnsi="Arial" w:cs="Arial"/>
        <w:sz w:val="16"/>
        <w:szCs w:val="16"/>
      </w:rPr>
      <w:fldChar w:fldCharType="separate"/>
    </w:r>
    <w:r w:rsidR="001F7626">
      <w:rPr>
        <w:rFonts w:ascii="Arial" w:hAnsi="Arial" w:cs="Arial"/>
        <w:noProof/>
        <w:sz w:val="16"/>
        <w:szCs w:val="16"/>
      </w:rPr>
      <w:t>9</w:t>
    </w:r>
    <w:r w:rsidRPr="00AC0D6A">
      <w:rPr>
        <w:rFonts w:ascii="Arial" w:hAnsi="Arial" w:cs="Arial"/>
        <w:noProof/>
        <w:sz w:val="16"/>
        <w:szCs w:val="16"/>
      </w:rPr>
      <w:fldChar w:fldCharType="end"/>
    </w:r>
  </w:p>
  <w:p w14:paraId="5AFB8E6C" w14:textId="77777777" w:rsidR="00AC0D6A" w:rsidRDefault="00AC0D6A">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53AB6" w14:textId="77777777" w:rsidR="00E02008" w:rsidRDefault="00E02008" w:rsidP="000566E1">
      <w:r>
        <w:separator/>
      </w:r>
    </w:p>
  </w:footnote>
  <w:footnote w:type="continuationSeparator" w:id="0">
    <w:p w14:paraId="76FE314B" w14:textId="77777777" w:rsidR="00E02008" w:rsidRDefault="00E02008" w:rsidP="0005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8E6A" w14:textId="19D02E5D" w:rsidR="002720F7" w:rsidRPr="002720F7" w:rsidRDefault="004B0F9B" w:rsidP="006A1EFE">
    <w:pPr>
      <w:pStyle w:val="Heading1"/>
    </w:pPr>
    <w:r w:rsidRPr="00855D38">
      <w:rPr>
        <w:noProof/>
        <w:szCs w:val="36"/>
      </w:rPr>
      <w:drawing>
        <wp:anchor distT="0" distB="0" distL="114300" distR="114300" simplePos="0" relativeHeight="251657216" behindDoc="1" locked="0" layoutInCell="1" allowOverlap="1" wp14:anchorId="5AFB8E6F" wp14:editId="628F7548">
          <wp:simplePos x="0" y="0"/>
          <wp:positionH relativeFrom="page">
            <wp:align>right</wp:align>
          </wp:positionH>
          <wp:positionV relativeFrom="paragraph">
            <wp:posOffset>1666240</wp:posOffset>
          </wp:positionV>
          <wp:extent cx="7560310" cy="8550275"/>
          <wp:effectExtent l="0" t="0" r="0" b="0"/>
          <wp:wrapNone/>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60403" t="65292" r="8394" b="15228"/>
                  <a:stretch>
                    <a:fillRect/>
                  </a:stretch>
                </pic:blipFill>
                <pic:spPr bwMode="auto">
                  <a:xfrm>
                    <a:off x="0" y="0"/>
                    <a:ext cx="7560310" cy="855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0F7">
      <w:rPr>
        <w:noProof/>
        <w:lang w:eastAsia="en-AU"/>
      </w:rPr>
      <w:t>Creative</w:t>
    </w:r>
    <w:r w:rsidR="002720F7" w:rsidRPr="0043610D">
      <w:t xml:space="preserve"> Victoria Grants Portal</w:t>
    </w:r>
    <w:r w:rsidR="002720F7">
      <w:t xml:space="preserve"> – online acquittal</w:t>
    </w:r>
    <w:r w:rsidR="006A1EFE">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96E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F47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B8E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4B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BA5E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B42E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1AB4AE"/>
    <w:lvl w:ilvl="0">
      <w:start w:val="1"/>
      <w:numFmt w:val="bullet"/>
      <w:lvlText w:val="−"/>
      <w:lvlJc w:val="left"/>
      <w:pPr>
        <w:ind w:left="643" w:hanging="360"/>
      </w:pPr>
      <w:rPr>
        <w:rFonts w:ascii="Arial" w:hAnsi="Arial" w:hint="default"/>
      </w:rPr>
    </w:lvl>
  </w:abstractNum>
  <w:abstractNum w:abstractNumId="8" w15:restartNumberingAfterBreak="0">
    <w:nsid w:val="FFFFFF88"/>
    <w:multiLevelType w:val="singleLevel"/>
    <w:tmpl w:val="17D6D31E"/>
    <w:lvl w:ilvl="0">
      <w:start w:val="1"/>
      <w:numFmt w:val="decimal"/>
      <w:lvlText w:val="%1."/>
      <w:lvlJc w:val="left"/>
      <w:pPr>
        <w:tabs>
          <w:tab w:val="num" w:pos="360"/>
        </w:tabs>
        <w:ind w:left="360" w:hanging="360"/>
      </w:pPr>
    </w:lvl>
  </w:abstractNum>
  <w:abstractNum w:abstractNumId="9" w15:restartNumberingAfterBreak="0">
    <w:nsid w:val="4EF84C37"/>
    <w:multiLevelType w:val="singleLevel"/>
    <w:tmpl w:val="0C090001"/>
    <w:lvl w:ilvl="0">
      <w:start w:val="1"/>
      <w:numFmt w:val="bullet"/>
      <w:lvlText w:val=""/>
      <w:lvlJc w:val="left"/>
      <w:pPr>
        <w:ind w:left="720" w:hanging="360"/>
      </w:pPr>
      <w:rPr>
        <w:rFonts w:ascii="Symbol" w:hAnsi="Symbol" w:hint="default"/>
      </w:rPr>
    </w:lvl>
  </w:abstractNum>
  <w:abstractNum w:abstractNumId="10" w15:restartNumberingAfterBreak="0">
    <w:nsid w:val="54255402"/>
    <w:multiLevelType w:val="hybridMultilevel"/>
    <w:tmpl w:val="31BE9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152285"/>
    <w:multiLevelType w:val="hybridMultilevel"/>
    <w:tmpl w:val="22FE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9A358E"/>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6BCC4C38"/>
    <w:multiLevelType w:val="hybridMultilevel"/>
    <w:tmpl w:val="8708D0E4"/>
    <w:lvl w:ilvl="0" w:tplc="46348430">
      <w:start w:val="1"/>
      <w:numFmt w:val="bullet"/>
      <w:lvlText w:val=""/>
      <w:lvlJc w:val="left"/>
      <w:pPr>
        <w:ind w:left="720" w:hanging="360"/>
      </w:pPr>
      <w:rPr>
        <w:rFonts w:ascii="Symbol" w:hAnsi="Symbol" w:hint="default"/>
      </w:rPr>
    </w:lvl>
    <w:lvl w:ilvl="1" w:tplc="B2DC59E8" w:tentative="1">
      <w:start w:val="1"/>
      <w:numFmt w:val="bullet"/>
      <w:lvlText w:val="o"/>
      <w:lvlJc w:val="left"/>
      <w:pPr>
        <w:ind w:left="1440" w:hanging="360"/>
      </w:pPr>
      <w:rPr>
        <w:rFonts w:ascii="Courier New" w:hAnsi="Courier New" w:cs="Courier New" w:hint="default"/>
      </w:rPr>
    </w:lvl>
    <w:lvl w:ilvl="2" w:tplc="B36A97B2" w:tentative="1">
      <w:start w:val="1"/>
      <w:numFmt w:val="bullet"/>
      <w:lvlText w:val=""/>
      <w:lvlJc w:val="left"/>
      <w:pPr>
        <w:ind w:left="2160" w:hanging="360"/>
      </w:pPr>
      <w:rPr>
        <w:rFonts w:ascii="Wingdings" w:hAnsi="Wingdings" w:hint="default"/>
      </w:rPr>
    </w:lvl>
    <w:lvl w:ilvl="3" w:tplc="1EFE67F4" w:tentative="1">
      <w:start w:val="1"/>
      <w:numFmt w:val="bullet"/>
      <w:lvlText w:val=""/>
      <w:lvlJc w:val="left"/>
      <w:pPr>
        <w:ind w:left="2880" w:hanging="360"/>
      </w:pPr>
      <w:rPr>
        <w:rFonts w:ascii="Symbol" w:hAnsi="Symbol" w:hint="default"/>
      </w:rPr>
    </w:lvl>
    <w:lvl w:ilvl="4" w:tplc="7F4AAD96" w:tentative="1">
      <w:start w:val="1"/>
      <w:numFmt w:val="bullet"/>
      <w:lvlText w:val="o"/>
      <w:lvlJc w:val="left"/>
      <w:pPr>
        <w:ind w:left="3600" w:hanging="360"/>
      </w:pPr>
      <w:rPr>
        <w:rFonts w:ascii="Courier New" w:hAnsi="Courier New" w:cs="Courier New" w:hint="default"/>
      </w:rPr>
    </w:lvl>
    <w:lvl w:ilvl="5" w:tplc="FC783E9E" w:tentative="1">
      <w:start w:val="1"/>
      <w:numFmt w:val="bullet"/>
      <w:lvlText w:val=""/>
      <w:lvlJc w:val="left"/>
      <w:pPr>
        <w:ind w:left="4320" w:hanging="360"/>
      </w:pPr>
      <w:rPr>
        <w:rFonts w:ascii="Wingdings" w:hAnsi="Wingdings" w:hint="default"/>
      </w:rPr>
    </w:lvl>
    <w:lvl w:ilvl="6" w:tplc="B0A67A70" w:tentative="1">
      <w:start w:val="1"/>
      <w:numFmt w:val="bullet"/>
      <w:lvlText w:val=""/>
      <w:lvlJc w:val="left"/>
      <w:pPr>
        <w:ind w:left="5040" w:hanging="360"/>
      </w:pPr>
      <w:rPr>
        <w:rFonts w:ascii="Symbol" w:hAnsi="Symbol" w:hint="default"/>
      </w:rPr>
    </w:lvl>
    <w:lvl w:ilvl="7" w:tplc="B95EECDC" w:tentative="1">
      <w:start w:val="1"/>
      <w:numFmt w:val="bullet"/>
      <w:lvlText w:val="o"/>
      <w:lvlJc w:val="left"/>
      <w:pPr>
        <w:ind w:left="5760" w:hanging="360"/>
      </w:pPr>
      <w:rPr>
        <w:rFonts w:ascii="Courier New" w:hAnsi="Courier New" w:cs="Courier New" w:hint="default"/>
      </w:rPr>
    </w:lvl>
    <w:lvl w:ilvl="8" w:tplc="71B6DBC2" w:tentative="1">
      <w:start w:val="1"/>
      <w:numFmt w:val="bullet"/>
      <w:lvlText w:val=""/>
      <w:lvlJc w:val="left"/>
      <w:pPr>
        <w:ind w:left="6480" w:hanging="360"/>
      </w:pPr>
      <w:rPr>
        <w:rFonts w:ascii="Wingdings" w:hAnsi="Wingdings" w:hint="default"/>
      </w:rPr>
    </w:lvl>
  </w:abstractNum>
  <w:abstractNum w:abstractNumId="14" w15:restartNumberingAfterBreak="0">
    <w:nsid w:val="72FC096F"/>
    <w:multiLevelType w:val="multilevel"/>
    <w:tmpl w:val="95348ED8"/>
    <w:lvl w:ilvl="0">
      <w:start w:val="1"/>
      <w:numFmt w:val="bullet"/>
      <w:pStyle w:val="ListBullet"/>
      <w:lvlText w:val=""/>
      <w:lvlJc w:val="left"/>
      <w:pPr>
        <w:ind w:left="198" w:hanging="198"/>
      </w:pPr>
      <w:rPr>
        <w:rFonts w:ascii="Symbol" w:hAnsi="Symbol" w:hint="default"/>
        <w:color w:val="auto"/>
      </w:rPr>
    </w:lvl>
    <w:lvl w:ilvl="1">
      <w:start w:val="1"/>
      <w:numFmt w:val="bullet"/>
      <w:pStyle w:val="ListBullet2"/>
      <w:lvlText w:val="−"/>
      <w:lvlJc w:val="left"/>
      <w:pPr>
        <w:ind w:left="397" w:hanging="199"/>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F942CBC"/>
    <w:multiLevelType w:val="hybridMultilevel"/>
    <w:tmpl w:val="BC5452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7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84"/>
    <w:rsid w:val="0000218B"/>
    <w:rsid w:val="00013A49"/>
    <w:rsid w:val="00013DF5"/>
    <w:rsid w:val="000325C8"/>
    <w:rsid w:val="0003464E"/>
    <w:rsid w:val="00034A93"/>
    <w:rsid w:val="0005527B"/>
    <w:rsid w:val="000566E1"/>
    <w:rsid w:val="000616C6"/>
    <w:rsid w:val="000622BD"/>
    <w:rsid w:val="000947D9"/>
    <w:rsid w:val="000A6D2C"/>
    <w:rsid w:val="000C388E"/>
    <w:rsid w:val="000C3BBC"/>
    <w:rsid w:val="000F03A8"/>
    <w:rsid w:val="00114759"/>
    <w:rsid w:val="00120892"/>
    <w:rsid w:val="001436AC"/>
    <w:rsid w:val="00150BC3"/>
    <w:rsid w:val="001551C7"/>
    <w:rsid w:val="00156E81"/>
    <w:rsid w:val="00170B01"/>
    <w:rsid w:val="00174AF1"/>
    <w:rsid w:val="001B4179"/>
    <w:rsid w:val="001C68FA"/>
    <w:rsid w:val="001D5C13"/>
    <w:rsid w:val="001F1513"/>
    <w:rsid w:val="001F17D6"/>
    <w:rsid w:val="001F2EC3"/>
    <w:rsid w:val="001F7626"/>
    <w:rsid w:val="0020117C"/>
    <w:rsid w:val="00231EDF"/>
    <w:rsid w:val="00266EA3"/>
    <w:rsid w:val="002720F7"/>
    <w:rsid w:val="00283C13"/>
    <w:rsid w:val="00290331"/>
    <w:rsid w:val="002911CC"/>
    <w:rsid w:val="00297624"/>
    <w:rsid w:val="002A1289"/>
    <w:rsid w:val="002A2660"/>
    <w:rsid w:val="002A5DDE"/>
    <w:rsid w:val="002B1DBC"/>
    <w:rsid w:val="002B3070"/>
    <w:rsid w:val="002B6CD5"/>
    <w:rsid w:val="002D1E76"/>
    <w:rsid w:val="002E01E1"/>
    <w:rsid w:val="002E6A88"/>
    <w:rsid w:val="002F2119"/>
    <w:rsid w:val="0030022E"/>
    <w:rsid w:val="0030794C"/>
    <w:rsid w:val="00307C80"/>
    <w:rsid w:val="0034012D"/>
    <w:rsid w:val="0035070F"/>
    <w:rsid w:val="00357575"/>
    <w:rsid w:val="00360357"/>
    <w:rsid w:val="00364F83"/>
    <w:rsid w:val="00366F30"/>
    <w:rsid w:val="00376AAA"/>
    <w:rsid w:val="00385F52"/>
    <w:rsid w:val="003A566F"/>
    <w:rsid w:val="003B07F2"/>
    <w:rsid w:val="003B7C8F"/>
    <w:rsid w:val="003E4B01"/>
    <w:rsid w:val="003E6955"/>
    <w:rsid w:val="004050DC"/>
    <w:rsid w:val="00412DF1"/>
    <w:rsid w:val="00420E78"/>
    <w:rsid w:val="00433587"/>
    <w:rsid w:val="004348F8"/>
    <w:rsid w:val="00435FA0"/>
    <w:rsid w:val="0044387A"/>
    <w:rsid w:val="0046755F"/>
    <w:rsid w:val="00492453"/>
    <w:rsid w:val="0049793F"/>
    <w:rsid w:val="004B0F9B"/>
    <w:rsid w:val="004B56AB"/>
    <w:rsid w:val="004E27DA"/>
    <w:rsid w:val="004E36CE"/>
    <w:rsid w:val="004E42A7"/>
    <w:rsid w:val="004F19E1"/>
    <w:rsid w:val="004F52CB"/>
    <w:rsid w:val="00507532"/>
    <w:rsid w:val="00512168"/>
    <w:rsid w:val="00557903"/>
    <w:rsid w:val="00566F20"/>
    <w:rsid w:val="00591ED9"/>
    <w:rsid w:val="005C4398"/>
    <w:rsid w:val="005D6D47"/>
    <w:rsid w:val="005F71BD"/>
    <w:rsid w:val="00601158"/>
    <w:rsid w:val="00627B98"/>
    <w:rsid w:val="00643B57"/>
    <w:rsid w:val="006643AB"/>
    <w:rsid w:val="00665CAD"/>
    <w:rsid w:val="00686F0C"/>
    <w:rsid w:val="006A1EFE"/>
    <w:rsid w:val="006B051B"/>
    <w:rsid w:val="006B0520"/>
    <w:rsid w:val="006C7286"/>
    <w:rsid w:val="006D0524"/>
    <w:rsid w:val="006D3580"/>
    <w:rsid w:val="006D35B1"/>
    <w:rsid w:val="006E048A"/>
    <w:rsid w:val="00751D17"/>
    <w:rsid w:val="00775F4E"/>
    <w:rsid w:val="007B3A24"/>
    <w:rsid w:val="007B438E"/>
    <w:rsid w:val="007C2E57"/>
    <w:rsid w:val="007E40F8"/>
    <w:rsid w:val="007F2F4E"/>
    <w:rsid w:val="00810BE4"/>
    <w:rsid w:val="008239C2"/>
    <w:rsid w:val="008307EF"/>
    <w:rsid w:val="00847A87"/>
    <w:rsid w:val="00847B0A"/>
    <w:rsid w:val="0085505C"/>
    <w:rsid w:val="00855470"/>
    <w:rsid w:val="00855D38"/>
    <w:rsid w:val="008655ED"/>
    <w:rsid w:val="008868FD"/>
    <w:rsid w:val="008A1BF2"/>
    <w:rsid w:val="008A1E7B"/>
    <w:rsid w:val="008B0023"/>
    <w:rsid w:val="008B1717"/>
    <w:rsid w:val="008D3C50"/>
    <w:rsid w:val="008D4501"/>
    <w:rsid w:val="008E7011"/>
    <w:rsid w:val="008F2BD6"/>
    <w:rsid w:val="00926D1A"/>
    <w:rsid w:val="00935049"/>
    <w:rsid w:val="00937D5D"/>
    <w:rsid w:val="009464D5"/>
    <w:rsid w:val="00960F27"/>
    <w:rsid w:val="00974AE2"/>
    <w:rsid w:val="009926E5"/>
    <w:rsid w:val="009933D0"/>
    <w:rsid w:val="00997174"/>
    <w:rsid w:val="009B51D8"/>
    <w:rsid w:val="009C1B6C"/>
    <w:rsid w:val="009C6CED"/>
    <w:rsid w:val="009D2F83"/>
    <w:rsid w:val="009E45DB"/>
    <w:rsid w:val="00A075FA"/>
    <w:rsid w:val="00A11D54"/>
    <w:rsid w:val="00A34520"/>
    <w:rsid w:val="00A35D65"/>
    <w:rsid w:val="00A35D94"/>
    <w:rsid w:val="00A4413B"/>
    <w:rsid w:val="00A46458"/>
    <w:rsid w:val="00A60BA8"/>
    <w:rsid w:val="00A6749E"/>
    <w:rsid w:val="00A839E9"/>
    <w:rsid w:val="00A94F8D"/>
    <w:rsid w:val="00AA0510"/>
    <w:rsid w:val="00AA4C12"/>
    <w:rsid w:val="00AB1943"/>
    <w:rsid w:val="00AB1D73"/>
    <w:rsid w:val="00AC0D6A"/>
    <w:rsid w:val="00AC7A5E"/>
    <w:rsid w:val="00AD5984"/>
    <w:rsid w:val="00AF1110"/>
    <w:rsid w:val="00AF3E83"/>
    <w:rsid w:val="00B117B3"/>
    <w:rsid w:val="00B163A6"/>
    <w:rsid w:val="00B44549"/>
    <w:rsid w:val="00B65BB0"/>
    <w:rsid w:val="00B7521E"/>
    <w:rsid w:val="00BA22AB"/>
    <w:rsid w:val="00BA402E"/>
    <w:rsid w:val="00BA5442"/>
    <w:rsid w:val="00BB6976"/>
    <w:rsid w:val="00BC2DA8"/>
    <w:rsid w:val="00BE2364"/>
    <w:rsid w:val="00BE76BB"/>
    <w:rsid w:val="00BE7907"/>
    <w:rsid w:val="00C4394C"/>
    <w:rsid w:val="00C44441"/>
    <w:rsid w:val="00C62B21"/>
    <w:rsid w:val="00C67005"/>
    <w:rsid w:val="00CA3EBB"/>
    <w:rsid w:val="00CA6932"/>
    <w:rsid w:val="00CB0D85"/>
    <w:rsid w:val="00CC3FBB"/>
    <w:rsid w:val="00CC7FB3"/>
    <w:rsid w:val="00CD40CF"/>
    <w:rsid w:val="00CE4DEC"/>
    <w:rsid w:val="00D333C8"/>
    <w:rsid w:val="00D35C0E"/>
    <w:rsid w:val="00D50C65"/>
    <w:rsid w:val="00D56275"/>
    <w:rsid w:val="00D579E4"/>
    <w:rsid w:val="00D65984"/>
    <w:rsid w:val="00D73D25"/>
    <w:rsid w:val="00D74D28"/>
    <w:rsid w:val="00DA05EE"/>
    <w:rsid w:val="00DB76CF"/>
    <w:rsid w:val="00DC541E"/>
    <w:rsid w:val="00DE52DC"/>
    <w:rsid w:val="00DF3732"/>
    <w:rsid w:val="00E02008"/>
    <w:rsid w:val="00E12D02"/>
    <w:rsid w:val="00E36E42"/>
    <w:rsid w:val="00E477F3"/>
    <w:rsid w:val="00E5233B"/>
    <w:rsid w:val="00E64D29"/>
    <w:rsid w:val="00E82605"/>
    <w:rsid w:val="00E82797"/>
    <w:rsid w:val="00E85077"/>
    <w:rsid w:val="00EB1697"/>
    <w:rsid w:val="00EC5614"/>
    <w:rsid w:val="00ED1C4D"/>
    <w:rsid w:val="00EF0A04"/>
    <w:rsid w:val="00F1457C"/>
    <w:rsid w:val="00F153A8"/>
    <w:rsid w:val="00F26837"/>
    <w:rsid w:val="00F31383"/>
    <w:rsid w:val="00F325D2"/>
    <w:rsid w:val="00F3660B"/>
    <w:rsid w:val="00F51C32"/>
    <w:rsid w:val="00F51FD0"/>
    <w:rsid w:val="00F81553"/>
    <w:rsid w:val="00F83617"/>
    <w:rsid w:val="00F85983"/>
    <w:rsid w:val="00FA264E"/>
    <w:rsid w:val="00FB2312"/>
    <w:rsid w:val="00FC7799"/>
    <w:rsid w:val="00FD2E67"/>
    <w:rsid w:val="00FE6E05"/>
    <w:rsid w:val="00FF1554"/>
    <w:rsid w:val="03656544"/>
    <w:rsid w:val="05213CC0"/>
    <w:rsid w:val="067ECA3D"/>
    <w:rsid w:val="070397A7"/>
    <w:rsid w:val="086CF010"/>
    <w:rsid w:val="093DA706"/>
    <w:rsid w:val="0A3B3869"/>
    <w:rsid w:val="1127FCE9"/>
    <w:rsid w:val="1184ED45"/>
    <w:rsid w:val="121BBFDC"/>
    <w:rsid w:val="15686293"/>
    <w:rsid w:val="1BC2A222"/>
    <w:rsid w:val="1F8927F5"/>
    <w:rsid w:val="1FD2C674"/>
    <w:rsid w:val="26D819DE"/>
    <w:rsid w:val="28117D13"/>
    <w:rsid w:val="2AD2C543"/>
    <w:rsid w:val="2B3DABB8"/>
    <w:rsid w:val="2BC1DDDA"/>
    <w:rsid w:val="31A4421C"/>
    <w:rsid w:val="339D7489"/>
    <w:rsid w:val="3702743C"/>
    <w:rsid w:val="39854089"/>
    <w:rsid w:val="3C8448EE"/>
    <w:rsid w:val="3C9C4961"/>
    <w:rsid w:val="4097F7A5"/>
    <w:rsid w:val="43CF9867"/>
    <w:rsid w:val="44298444"/>
    <w:rsid w:val="45603EE4"/>
    <w:rsid w:val="456B68C8"/>
    <w:rsid w:val="45849125"/>
    <w:rsid w:val="4CCE6D3F"/>
    <w:rsid w:val="4CDD0CCD"/>
    <w:rsid w:val="4EEB0730"/>
    <w:rsid w:val="4F86306E"/>
    <w:rsid w:val="522EB0FF"/>
    <w:rsid w:val="5683EF13"/>
    <w:rsid w:val="5AB2154F"/>
    <w:rsid w:val="5B2F984B"/>
    <w:rsid w:val="5C075B2A"/>
    <w:rsid w:val="5F3EFBEC"/>
    <w:rsid w:val="6246B85B"/>
    <w:rsid w:val="645A0FE7"/>
    <w:rsid w:val="64D67A91"/>
    <w:rsid w:val="64DFE806"/>
    <w:rsid w:val="67091D89"/>
    <w:rsid w:val="680A70AE"/>
    <w:rsid w:val="6DB5321E"/>
    <w:rsid w:val="6FA9BDE5"/>
    <w:rsid w:val="707644D2"/>
    <w:rsid w:val="71458E46"/>
    <w:rsid w:val="75B59287"/>
    <w:rsid w:val="792E8F24"/>
    <w:rsid w:val="7AE05B57"/>
    <w:rsid w:val="7B13C4A7"/>
    <w:rsid w:val="7C7F09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B8DDA"/>
  <w15:chartTrackingRefBased/>
  <w15:docId w15:val="{46BB0AE9-29FD-404E-8B2A-84E59665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E1"/>
    <w:pPr>
      <w:spacing w:before="120" w:after="120" w:line="259" w:lineRule="auto"/>
    </w:pPr>
    <w:rPr>
      <w:color w:val="201547"/>
      <w:sz w:val="22"/>
      <w:szCs w:val="22"/>
      <w:lang w:val="en-AU" w:eastAsia="en-US"/>
    </w:rPr>
  </w:style>
  <w:style w:type="paragraph" w:styleId="Heading1">
    <w:name w:val="heading 1"/>
    <w:basedOn w:val="Normal"/>
    <w:next w:val="Normal"/>
    <w:link w:val="Heading1Char"/>
    <w:uiPriority w:val="9"/>
    <w:qFormat/>
    <w:rsid w:val="00F51C32"/>
    <w:pPr>
      <w:keepNext/>
      <w:keepLines/>
      <w:spacing w:before="240"/>
      <w:outlineLvl w:val="0"/>
    </w:pPr>
    <w:rPr>
      <w:rFonts w:eastAsia="Times New Roman"/>
      <w:b/>
      <w:color w:val="00B7BD"/>
      <w:sz w:val="36"/>
      <w:szCs w:val="32"/>
    </w:rPr>
  </w:style>
  <w:style w:type="paragraph" w:styleId="Heading2">
    <w:name w:val="heading 2"/>
    <w:basedOn w:val="Normal"/>
    <w:next w:val="Normal"/>
    <w:link w:val="Heading2Char"/>
    <w:uiPriority w:val="9"/>
    <w:unhideWhenUsed/>
    <w:qFormat/>
    <w:rsid w:val="00F51C32"/>
    <w:pPr>
      <w:keepNext/>
      <w:keepLines/>
      <w:spacing w:before="160" w:after="240"/>
      <w:outlineLvl w:val="1"/>
    </w:pPr>
    <w:rPr>
      <w:rFonts w:eastAsia="Times New Roman"/>
      <w:b/>
      <w:sz w:val="28"/>
      <w:szCs w:val="26"/>
    </w:rPr>
  </w:style>
  <w:style w:type="paragraph" w:styleId="Heading3">
    <w:name w:val="heading 3"/>
    <w:basedOn w:val="Normal"/>
    <w:next w:val="Normal"/>
    <w:link w:val="Heading3Char"/>
    <w:uiPriority w:val="9"/>
    <w:unhideWhenUsed/>
    <w:qFormat/>
    <w:rsid w:val="00F51C32"/>
    <w:pPr>
      <w:keepNext/>
      <w:keepLines/>
      <w:spacing w:before="240" w:after="240"/>
      <w:outlineLvl w:val="2"/>
    </w:pPr>
    <w:rPr>
      <w:rFonts w:eastAsia="Times New Roman"/>
      <w:b/>
      <w:color w:val="00B7BD"/>
      <w:szCs w:val="24"/>
    </w:rPr>
  </w:style>
  <w:style w:type="paragraph" w:styleId="Heading4">
    <w:name w:val="heading 4"/>
    <w:basedOn w:val="Normal"/>
    <w:next w:val="Normal"/>
    <w:link w:val="Heading4Char"/>
    <w:uiPriority w:val="9"/>
    <w:unhideWhenUsed/>
    <w:qFormat/>
    <w:rsid w:val="005C4398"/>
    <w:pPr>
      <w:keepNext/>
      <w:keepLines/>
      <w:spacing w:before="360" w:after="240"/>
      <w:outlineLvl w:val="3"/>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A5E"/>
  </w:style>
  <w:style w:type="paragraph" w:styleId="Footer">
    <w:name w:val="footer"/>
    <w:basedOn w:val="Normal"/>
    <w:link w:val="FooterChar"/>
    <w:uiPriority w:val="99"/>
    <w:unhideWhenUsed/>
    <w:qFormat/>
    <w:rsid w:val="00AA4C12"/>
    <w:pPr>
      <w:framePr w:w="567" w:wrap="around" w:vAnchor="page" w:hAnchor="text" w:x="8733" w:y="15962" w:anchorLock="1"/>
      <w:tabs>
        <w:tab w:val="center" w:pos="4513"/>
        <w:tab w:val="right" w:pos="9026"/>
      </w:tabs>
      <w:spacing w:after="0" w:line="240" w:lineRule="auto"/>
      <w:jc w:val="right"/>
    </w:pPr>
    <w:rPr>
      <w:rFonts w:ascii="VIC Medium" w:hAnsi="VIC Medium"/>
      <w:sz w:val="12"/>
    </w:rPr>
  </w:style>
  <w:style w:type="character" w:customStyle="1" w:styleId="FooterChar">
    <w:name w:val="Footer Char"/>
    <w:link w:val="Footer"/>
    <w:uiPriority w:val="99"/>
    <w:rsid w:val="00AA4C12"/>
    <w:rPr>
      <w:rFonts w:ascii="VIC Medium" w:hAnsi="VIC Medium"/>
      <w:color w:val="201547"/>
      <w:sz w:val="12"/>
    </w:rPr>
  </w:style>
  <w:style w:type="character" w:customStyle="1" w:styleId="Heading1Char">
    <w:name w:val="Heading 1 Char"/>
    <w:link w:val="Heading1"/>
    <w:uiPriority w:val="9"/>
    <w:rsid w:val="00F51C32"/>
    <w:rPr>
      <w:rFonts w:ascii="Arial" w:eastAsia="Times New Roman" w:hAnsi="Arial" w:cs="Cordia New"/>
      <w:b/>
      <w:color w:val="00B7BD"/>
      <w:sz w:val="36"/>
      <w:szCs w:val="32"/>
    </w:rPr>
  </w:style>
  <w:style w:type="character" w:customStyle="1" w:styleId="Heading2Char">
    <w:name w:val="Heading 2 Char"/>
    <w:link w:val="Heading2"/>
    <w:uiPriority w:val="9"/>
    <w:rsid w:val="00F51C32"/>
    <w:rPr>
      <w:rFonts w:ascii="Arial" w:eastAsia="Times New Roman" w:hAnsi="Arial" w:cs="Cordia New"/>
      <w:b/>
      <w:color w:val="201547"/>
      <w:sz w:val="28"/>
      <w:szCs w:val="26"/>
    </w:rPr>
  </w:style>
  <w:style w:type="character" w:customStyle="1" w:styleId="Heading3Char">
    <w:name w:val="Heading 3 Char"/>
    <w:link w:val="Heading3"/>
    <w:uiPriority w:val="9"/>
    <w:rsid w:val="00F51C32"/>
    <w:rPr>
      <w:rFonts w:ascii="Arial" w:eastAsia="Times New Roman" w:hAnsi="Arial" w:cs="Cordia New"/>
      <w:b/>
      <w:color w:val="00B7BD"/>
      <w:szCs w:val="24"/>
    </w:rPr>
  </w:style>
  <w:style w:type="character" w:customStyle="1" w:styleId="Heading4Char">
    <w:name w:val="Heading 4 Char"/>
    <w:link w:val="Heading4"/>
    <w:uiPriority w:val="9"/>
    <w:rsid w:val="005C4398"/>
    <w:rPr>
      <w:rFonts w:ascii="Arial" w:eastAsia="Times New Roman" w:hAnsi="Arial" w:cs="Cordia New"/>
      <w:b/>
      <w:iCs/>
      <w:color w:val="201547"/>
    </w:rPr>
  </w:style>
  <w:style w:type="paragraph" w:styleId="ListParagraph">
    <w:name w:val="List Paragraph"/>
    <w:basedOn w:val="Normal"/>
    <w:uiPriority w:val="34"/>
    <w:qFormat/>
    <w:rsid w:val="005C4398"/>
    <w:pPr>
      <w:ind w:left="198"/>
      <w:contextualSpacing/>
    </w:pPr>
  </w:style>
  <w:style w:type="paragraph" w:styleId="ListBullet">
    <w:name w:val="List Bullet"/>
    <w:basedOn w:val="Normal"/>
    <w:uiPriority w:val="99"/>
    <w:unhideWhenUsed/>
    <w:qFormat/>
    <w:rsid w:val="007E40F8"/>
    <w:pPr>
      <w:numPr>
        <w:numId w:val="2"/>
      </w:numPr>
      <w:spacing w:after="160" w:line="240" w:lineRule="auto"/>
    </w:pPr>
  </w:style>
  <w:style w:type="paragraph" w:styleId="ListBullet2">
    <w:name w:val="List Bullet 2"/>
    <w:basedOn w:val="Normal"/>
    <w:uiPriority w:val="99"/>
    <w:unhideWhenUsed/>
    <w:qFormat/>
    <w:rsid w:val="007E40F8"/>
    <w:pPr>
      <w:numPr>
        <w:ilvl w:val="1"/>
        <w:numId w:val="2"/>
      </w:numPr>
      <w:spacing w:after="100" w:line="312" w:lineRule="auto"/>
      <w:contextualSpacing/>
    </w:pPr>
  </w:style>
  <w:style w:type="paragraph" w:styleId="Title">
    <w:name w:val="Title"/>
    <w:basedOn w:val="Normal"/>
    <w:next w:val="Normal"/>
    <w:link w:val="TitleChar"/>
    <w:uiPriority w:val="10"/>
    <w:qFormat/>
    <w:rsid w:val="003E4B01"/>
    <w:pPr>
      <w:framePr w:vSpace="284" w:wrap="notBeside" w:vAnchor="page" w:hAnchor="text" w:y="1419" w:anchorLock="1"/>
      <w:spacing w:before="480" w:line="240" w:lineRule="auto"/>
    </w:pPr>
    <w:rPr>
      <w:rFonts w:eastAsia="Times New Roman"/>
      <w:b/>
      <w:color w:val="FFFFFF"/>
      <w:spacing w:val="10"/>
      <w:kern w:val="28"/>
      <w:sz w:val="64"/>
      <w:szCs w:val="56"/>
    </w:rPr>
  </w:style>
  <w:style w:type="character" w:customStyle="1" w:styleId="TitleChar">
    <w:name w:val="Title Char"/>
    <w:link w:val="Title"/>
    <w:uiPriority w:val="10"/>
    <w:rsid w:val="003E4B01"/>
    <w:rPr>
      <w:rFonts w:ascii="Arial" w:eastAsia="Times New Roman" w:hAnsi="Arial" w:cs="Cordia New"/>
      <w:b/>
      <w:color w:val="FFFFFF"/>
      <w:spacing w:val="10"/>
      <w:kern w:val="28"/>
      <w:sz w:val="64"/>
      <w:szCs w:val="56"/>
    </w:rPr>
  </w:style>
  <w:style w:type="paragraph" w:customStyle="1" w:styleId="SectionTitle">
    <w:name w:val="Section Title"/>
    <w:basedOn w:val="Normal"/>
    <w:link w:val="SectionTitleChar"/>
    <w:qFormat/>
    <w:rsid w:val="00F51C32"/>
    <w:pPr>
      <w:spacing w:after="300"/>
      <w:contextualSpacing/>
    </w:pPr>
    <w:rPr>
      <w:b/>
      <w:spacing w:val="10"/>
      <w:sz w:val="48"/>
    </w:rPr>
  </w:style>
  <w:style w:type="character" w:styleId="PageNumber">
    <w:name w:val="page number"/>
    <w:basedOn w:val="DefaultParagraphFont"/>
    <w:uiPriority w:val="99"/>
    <w:unhideWhenUsed/>
    <w:rsid w:val="00AA4C12"/>
  </w:style>
  <w:style w:type="character" w:customStyle="1" w:styleId="SectionTitleChar">
    <w:name w:val="Section Title Char"/>
    <w:link w:val="SectionTitle"/>
    <w:rsid w:val="00F51C32"/>
    <w:rPr>
      <w:b/>
      <w:color w:val="201547"/>
      <w:spacing w:val="10"/>
      <w:sz w:val="48"/>
    </w:rPr>
  </w:style>
  <w:style w:type="paragraph" w:styleId="Subtitle">
    <w:name w:val="Subtitle"/>
    <w:basedOn w:val="Normal"/>
    <w:next w:val="Normal"/>
    <w:link w:val="SubtitleChar"/>
    <w:uiPriority w:val="11"/>
    <w:qFormat/>
    <w:rsid w:val="003E4B01"/>
    <w:pPr>
      <w:numPr>
        <w:ilvl w:val="1"/>
      </w:numPr>
      <w:spacing w:after="160"/>
    </w:pPr>
    <w:rPr>
      <w:rFonts w:eastAsia="Times New Roman"/>
      <w:b/>
      <w:caps/>
      <w:color w:val="FFFFFF"/>
      <w:spacing w:val="20"/>
    </w:rPr>
  </w:style>
  <w:style w:type="character" w:customStyle="1" w:styleId="SubtitleChar">
    <w:name w:val="Subtitle Char"/>
    <w:link w:val="Subtitle"/>
    <w:uiPriority w:val="11"/>
    <w:rsid w:val="003E4B01"/>
    <w:rPr>
      <w:rFonts w:eastAsia="Times New Roman"/>
      <w:b/>
      <w:caps/>
      <w:color w:val="FFFFFF"/>
      <w:spacing w:val="20"/>
    </w:rPr>
  </w:style>
  <w:style w:type="character" w:styleId="PlaceholderText">
    <w:name w:val="Placeholder Text"/>
    <w:uiPriority w:val="99"/>
    <w:semiHidden/>
    <w:rsid w:val="001F17D6"/>
    <w:rPr>
      <w:color w:val="808080"/>
    </w:rPr>
  </w:style>
  <w:style w:type="character" w:styleId="Hyperlink">
    <w:name w:val="Hyperlink"/>
    <w:rsid w:val="00BE76BB"/>
    <w:rPr>
      <w:color w:val="0000FF"/>
      <w:u w:val="single"/>
    </w:rPr>
  </w:style>
  <w:style w:type="character" w:customStyle="1" w:styleId="apple-converted-space">
    <w:name w:val="apple-converted-space"/>
    <w:rsid w:val="00BE76BB"/>
  </w:style>
  <w:style w:type="table" w:styleId="TableGrid">
    <w:name w:val="Table Grid"/>
    <w:basedOn w:val="TableNormal"/>
    <w:uiPriority w:val="39"/>
    <w:rsid w:val="00297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C2E57"/>
    <w:rPr>
      <w:color w:val="800080"/>
      <w:u w:val="single"/>
    </w:rPr>
  </w:style>
  <w:style w:type="paragraph" w:styleId="BalloonText">
    <w:name w:val="Balloon Text"/>
    <w:basedOn w:val="Normal"/>
    <w:link w:val="BalloonTextChar"/>
    <w:uiPriority w:val="99"/>
    <w:semiHidden/>
    <w:unhideWhenUsed/>
    <w:rsid w:val="00BB697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B6976"/>
    <w:rPr>
      <w:rFonts w:ascii="Tahoma" w:hAnsi="Tahoma" w:cs="Tahoma"/>
      <w:color w:val="201547"/>
      <w:sz w:val="16"/>
      <w:szCs w:val="16"/>
      <w:lang w:eastAsia="en-US"/>
    </w:rPr>
  </w:style>
  <w:style w:type="paragraph" w:customStyle="1" w:styleId="Tabletext">
    <w:name w:val="Table text"/>
    <w:basedOn w:val="Normal"/>
    <w:qFormat/>
    <w:rsid w:val="002B6CD5"/>
    <w:pPr>
      <w:spacing w:before="0" w:after="0" w:line="264" w:lineRule="auto"/>
    </w:pPr>
    <w:rPr>
      <w:rFonts w:cs="Times New Roman"/>
      <w:color w:val="10024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eative.vic.gov.au/acquit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nts.creative.vic.gov.au/Account/ForgotPasswo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creative.vic.gov.au"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1\AppData\Local\Temp\notesE3CBFA\Creative%20Victoria-Report-Template-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e5a4f0-c765-4a63-b034-087ee65b541c">
      <UserInfo>
        <DisplayName>Jack J Berryman (DJPR)</DisplayName>
        <AccountId>92</AccountId>
        <AccountType/>
      </UserInfo>
      <UserInfo>
        <DisplayName>Shaun K Gillis (DJPR)</DisplayName>
        <AccountId>618</AccountId>
        <AccountType/>
      </UserInfo>
      <UserInfo>
        <DisplayName>Aimee N Barwick (DJPR)</DisplayName>
        <AccountId>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4A3E7134E53F47A630196899905667" ma:contentTypeVersion="12" ma:contentTypeDescription="Create a new document." ma:contentTypeScope="" ma:versionID="bf66eb13908474454a06f240a07fd973">
  <xsd:schema xmlns:xsd="http://www.w3.org/2001/XMLSchema" xmlns:xs="http://www.w3.org/2001/XMLSchema" xmlns:p="http://schemas.microsoft.com/office/2006/metadata/properties" xmlns:ns2="bd608b7a-575f-4dc6-a003-b4fb9cb9e8e0" xmlns:ns3="c9e5a4f0-c765-4a63-b034-087ee65b541c" targetNamespace="http://schemas.microsoft.com/office/2006/metadata/properties" ma:root="true" ma:fieldsID="d267c016f5b7be9deed78554c229a465" ns2:_="" ns3:_="">
    <xsd:import namespace="bd608b7a-575f-4dc6-a003-b4fb9cb9e8e0"/>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08b7a-575f-4dc6-a003-b4fb9cb9e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F125F-C1DD-458E-B3DF-C4B4E3ECE6D5}">
  <ds:schemaRefs>
    <ds:schemaRef ds:uri="http://purl.org/dc/terms/"/>
    <ds:schemaRef ds:uri="c9e5a4f0-c765-4a63-b034-087ee65b541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d608b7a-575f-4dc6-a003-b4fb9cb9e8e0"/>
    <ds:schemaRef ds:uri="http://www.w3.org/XML/1998/namespace"/>
    <ds:schemaRef ds:uri="http://purl.org/dc/dcmitype/"/>
  </ds:schemaRefs>
</ds:datastoreItem>
</file>

<file path=customXml/itemProps2.xml><?xml version="1.0" encoding="utf-8"?>
<ds:datastoreItem xmlns:ds="http://schemas.openxmlformats.org/officeDocument/2006/customXml" ds:itemID="{7FC66BE0-25D0-4554-8EB3-649B85074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08b7a-575f-4dc6-a003-b4fb9cb9e8e0"/>
    <ds:schemaRef ds:uri="c9e5a4f0-c765-4a63-b034-087ee65b5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82D86-4338-4A16-BA33-84898C1F4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Creative Victoria-Report-Template-2003.dot</Template>
  <TotalTime>1</TotalTime>
  <Pages>9</Pages>
  <Words>1896</Words>
  <Characters>10813</Characters>
  <Application>Microsoft Office Word</Application>
  <DocSecurity>6</DocSecurity>
  <Lines>90</Lines>
  <Paragraphs>25</Paragraphs>
  <ScaleCrop>false</ScaleCrop>
  <Company>Victorian Government</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Murphy</dc:creator>
  <cp:keywords/>
  <cp:lastModifiedBy>Aimee N Barwick (DJPR)</cp:lastModifiedBy>
  <cp:revision>2</cp:revision>
  <cp:lastPrinted>2016-09-09T16:31:00Z</cp:lastPrinted>
  <dcterms:created xsi:type="dcterms:W3CDTF">2021-05-10T02:52:00Z</dcterms:created>
  <dcterms:modified xsi:type="dcterms:W3CDTF">2021-05-10T02:52:00Z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5ba4a814-2b80-4e96-9e45-7099024d42ee</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Noraini Abdul-Rahman</vt:lpwstr>
  </property>
  <property fmtid="{D5CDD505-2E9C-101B-9397-08002B2CF9AE}" pid="6" name="ContentTypeId">
    <vt:lpwstr>0x0101006C4A3E7134E53F47A630196899905667</vt:lpwstr>
  </property>
</Properties>
</file>